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BEC172">
      <w:pPr>
        <w:spacing w:line="460" w:lineRule="exact"/>
        <w:jc w:val="center"/>
        <w:rPr>
          <w:rFonts w:eastAsia="方正小标宋简体"/>
          <w:kern w:val="0"/>
          <w:sz w:val="32"/>
          <w:szCs w:val="32"/>
        </w:rPr>
      </w:pPr>
      <w:r>
        <w:rPr>
          <w:rFonts w:hint="eastAsia" w:eastAsia="方正小标宋简体"/>
          <w:bCs/>
          <w:kern w:val="0"/>
          <w:sz w:val="32"/>
          <w:szCs w:val="32"/>
        </w:rPr>
        <w:t>无锡市惠山区户外广告阵地设置规划修编的</w:t>
      </w:r>
      <w:r>
        <w:rPr>
          <w:rFonts w:eastAsia="方正小标宋简体"/>
          <w:bCs/>
          <w:kern w:val="0"/>
          <w:sz w:val="32"/>
          <w:szCs w:val="32"/>
        </w:rPr>
        <w:t>采购公告</w:t>
      </w:r>
    </w:p>
    <w:p w14:paraId="368A63EC">
      <w:pPr>
        <w:widowControl/>
        <w:topLinePunct/>
        <w:spacing w:line="360" w:lineRule="auto"/>
        <w:ind w:firstLine="482" w:firstLineChars="200"/>
        <w:rPr>
          <w:rFonts w:hAnsi="宋体"/>
          <w:b/>
          <w:kern w:val="0"/>
          <w:sz w:val="24"/>
        </w:rPr>
      </w:pPr>
    </w:p>
    <w:p w14:paraId="52C559EC">
      <w:pPr>
        <w:widowControl/>
        <w:topLinePunct/>
        <w:spacing w:line="360" w:lineRule="auto"/>
        <w:ind w:firstLine="482" w:firstLineChars="200"/>
        <w:rPr>
          <w:b/>
          <w:kern w:val="0"/>
          <w:sz w:val="24"/>
        </w:rPr>
      </w:pPr>
      <w:r>
        <w:rPr>
          <w:rFonts w:hAnsi="宋体"/>
          <w:b/>
          <w:kern w:val="0"/>
          <w:sz w:val="24"/>
        </w:rPr>
        <w:t>一、采购项目名称</w:t>
      </w:r>
    </w:p>
    <w:p w14:paraId="457D963E">
      <w:pPr>
        <w:widowControl/>
        <w:topLinePunct/>
        <w:spacing w:line="360" w:lineRule="auto"/>
        <w:ind w:firstLine="480" w:firstLineChars="200"/>
        <w:rPr>
          <w:bCs/>
          <w:kern w:val="0"/>
          <w:sz w:val="24"/>
        </w:rPr>
      </w:pPr>
      <w:r>
        <w:rPr>
          <w:rFonts w:hint="eastAsia"/>
          <w:bCs/>
          <w:kern w:val="0"/>
          <w:sz w:val="24"/>
        </w:rPr>
        <w:t>无锡市惠山区户外广告阵地设置规划修编</w:t>
      </w:r>
      <w:r>
        <w:rPr>
          <w:rFonts w:hint="eastAsia" w:hAnsi="宋体"/>
          <w:bCs/>
          <w:kern w:val="0"/>
          <w:sz w:val="24"/>
        </w:rPr>
        <w:t>项目</w:t>
      </w:r>
    </w:p>
    <w:p w14:paraId="1CD6DC86">
      <w:pPr>
        <w:widowControl/>
        <w:topLinePunct/>
        <w:spacing w:line="360" w:lineRule="auto"/>
        <w:ind w:firstLine="482" w:firstLineChars="200"/>
        <w:rPr>
          <w:b/>
          <w:bCs/>
          <w:kern w:val="0"/>
          <w:sz w:val="24"/>
        </w:rPr>
      </w:pPr>
      <w:r>
        <w:rPr>
          <w:rFonts w:hAnsi="宋体"/>
          <w:b/>
          <w:bCs/>
          <w:kern w:val="0"/>
          <w:sz w:val="24"/>
        </w:rPr>
        <w:t>二、采购单位</w:t>
      </w:r>
    </w:p>
    <w:p w14:paraId="1FDA2252">
      <w:pPr>
        <w:widowControl/>
        <w:topLinePunct/>
        <w:spacing w:line="360" w:lineRule="auto"/>
        <w:ind w:firstLine="480" w:firstLineChars="200"/>
        <w:rPr>
          <w:bCs/>
          <w:kern w:val="0"/>
          <w:sz w:val="24"/>
        </w:rPr>
      </w:pPr>
      <w:r>
        <w:rPr>
          <w:rFonts w:hAnsi="宋体"/>
          <w:bCs/>
          <w:kern w:val="0"/>
          <w:sz w:val="24"/>
        </w:rPr>
        <w:t>无锡市惠山区城市管理局</w:t>
      </w:r>
    </w:p>
    <w:p w14:paraId="555580FF">
      <w:pPr>
        <w:widowControl/>
        <w:topLinePunct/>
        <w:spacing w:line="360" w:lineRule="auto"/>
        <w:ind w:firstLine="482" w:firstLineChars="200"/>
        <w:rPr>
          <w:rFonts w:hAnsi="宋体"/>
          <w:b/>
          <w:kern w:val="0"/>
          <w:sz w:val="24"/>
        </w:rPr>
      </w:pPr>
      <w:r>
        <w:rPr>
          <w:rFonts w:hAnsi="宋体"/>
          <w:b/>
          <w:kern w:val="0"/>
          <w:sz w:val="24"/>
        </w:rPr>
        <w:t>三、采购项目简要说明</w:t>
      </w:r>
    </w:p>
    <w:p w14:paraId="6743B1BD">
      <w:pPr>
        <w:widowControl/>
        <w:topLinePunct/>
        <w:spacing w:line="360" w:lineRule="auto"/>
        <w:ind w:firstLine="480" w:firstLineChars="200"/>
        <w:rPr>
          <w:bCs/>
          <w:kern w:val="0"/>
          <w:sz w:val="24"/>
        </w:rPr>
      </w:pPr>
      <w:r>
        <w:rPr>
          <w:rFonts w:hAnsi="宋体"/>
          <w:kern w:val="0"/>
          <w:sz w:val="24"/>
        </w:rPr>
        <w:t>1.</w:t>
      </w:r>
      <w:r>
        <w:rPr>
          <w:kern w:val="0"/>
          <w:sz w:val="24"/>
        </w:rPr>
        <w:t>采购目的：</w:t>
      </w:r>
      <w:r>
        <w:rPr>
          <w:rFonts w:hint="eastAsia"/>
          <w:bCs/>
          <w:kern w:val="0"/>
          <w:sz w:val="24"/>
        </w:rPr>
        <w:t>衔接惠山区新版国土空间规划进行相应调整。2023年，惠山区国土空间总体规划完成专家论证，新版规划对惠山区发展战略、空间布局提出了新的发展要求，相关规划用地也进行了相应优化。现有《无锡市惠山区户外广告阵地设置规划》已不适应新版国土空间规划空间布局要求，相关广告点位需要进行优化调整。</w:t>
      </w:r>
    </w:p>
    <w:p w14:paraId="2388EFF7">
      <w:pPr>
        <w:widowControl/>
        <w:topLinePunct/>
        <w:spacing w:line="360" w:lineRule="auto"/>
        <w:ind w:firstLine="480" w:firstLineChars="200"/>
        <w:rPr>
          <w:bCs/>
          <w:kern w:val="0"/>
          <w:sz w:val="24"/>
        </w:rPr>
      </w:pPr>
      <w:r>
        <w:rPr>
          <w:rFonts w:hint="eastAsia"/>
          <w:bCs/>
          <w:kern w:val="0"/>
          <w:sz w:val="24"/>
        </w:rPr>
        <w:t>新形势下户外广告发展的现实诉求。随着惠山区城市发展的不断推进，城市景观与户外广告结合需求不断显现。一些新的门户入口、关键节点广告商业价值与公益价值进入运营主体视野。</w:t>
      </w:r>
    </w:p>
    <w:p w14:paraId="5345D80B">
      <w:pPr>
        <w:widowControl/>
        <w:topLinePunct/>
        <w:spacing w:line="360" w:lineRule="auto"/>
        <w:ind w:firstLine="480" w:firstLineChars="200"/>
        <w:rPr>
          <w:kern w:val="0"/>
          <w:sz w:val="24"/>
        </w:rPr>
      </w:pPr>
      <w:r>
        <w:rPr>
          <w:rFonts w:hint="eastAsia"/>
          <w:kern w:val="0"/>
          <w:sz w:val="24"/>
        </w:rPr>
        <w:t>2</w:t>
      </w:r>
      <w:r>
        <w:rPr>
          <w:kern w:val="0"/>
          <w:sz w:val="24"/>
        </w:rPr>
        <w:t>.采购范围：</w:t>
      </w:r>
      <w:r>
        <w:rPr>
          <w:rFonts w:hint="eastAsia"/>
          <w:bCs/>
          <w:kern w:val="0"/>
          <w:sz w:val="24"/>
        </w:rPr>
        <w:t>无锡市惠山区行政区域，面积约325平方公里。</w:t>
      </w:r>
    </w:p>
    <w:p w14:paraId="4AE7318F">
      <w:pPr>
        <w:widowControl/>
        <w:tabs>
          <w:tab w:val="left" w:pos="312"/>
        </w:tabs>
        <w:spacing w:line="360" w:lineRule="auto"/>
        <w:ind w:firstLine="480" w:firstLineChars="200"/>
        <w:rPr>
          <w:rFonts w:hAnsi="宋体"/>
          <w:kern w:val="0"/>
          <w:sz w:val="24"/>
        </w:rPr>
      </w:pPr>
      <w:r>
        <w:rPr>
          <w:rFonts w:hint="eastAsia" w:hAnsi="宋体"/>
          <w:kern w:val="0"/>
          <w:sz w:val="24"/>
        </w:rPr>
        <w:t>3.</w:t>
      </w:r>
      <w:r>
        <w:rPr>
          <w:rFonts w:hAnsi="宋体"/>
          <w:kern w:val="0"/>
          <w:sz w:val="24"/>
        </w:rPr>
        <w:t>采购预算最高限价</w:t>
      </w:r>
      <w:r>
        <w:rPr>
          <w:rFonts w:hint="eastAsia" w:hAnsi="宋体"/>
          <w:kern w:val="0"/>
          <w:sz w:val="24"/>
        </w:rPr>
        <w:t>：总价最高限价20万元</w:t>
      </w:r>
    </w:p>
    <w:p w14:paraId="22CC35D8">
      <w:pPr>
        <w:widowControl/>
        <w:tabs>
          <w:tab w:val="left" w:pos="312"/>
        </w:tabs>
        <w:spacing w:line="360" w:lineRule="auto"/>
        <w:ind w:firstLine="480" w:firstLineChars="200"/>
        <w:rPr>
          <w:rFonts w:hAnsi="宋体"/>
          <w:kern w:val="0"/>
          <w:sz w:val="24"/>
        </w:rPr>
      </w:pPr>
      <w:r>
        <w:rPr>
          <w:rFonts w:hint="eastAsia" w:hAnsi="宋体"/>
          <w:kern w:val="0"/>
          <w:sz w:val="24"/>
        </w:rPr>
        <w:t>4.</w:t>
      </w:r>
      <w:r>
        <w:rPr>
          <w:rFonts w:hint="eastAsia" w:hAnsi="宋体"/>
          <w:kern w:val="0"/>
          <w:sz w:val="24"/>
          <w:lang w:eastAsia="zh-CN"/>
        </w:rPr>
        <w:t>中标</w:t>
      </w:r>
      <w:r>
        <w:rPr>
          <w:rFonts w:hAnsi="宋体"/>
          <w:kern w:val="0"/>
          <w:sz w:val="24"/>
        </w:rPr>
        <w:t>方式：</w:t>
      </w:r>
      <w:r>
        <w:rPr>
          <w:rFonts w:hint="eastAsia" w:hAnsi="宋体"/>
          <w:kern w:val="0"/>
          <w:sz w:val="24"/>
          <w:lang w:eastAsia="zh-CN"/>
        </w:rPr>
        <w:t>最低价中标</w:t>
      </w:r>
      <w:r>
        <w:rPr>
          <w:rFonts w:hAnsi="宋体"/>
          <w:kern w:val="0"/>
          <w:sz w:val="24"/>
        </w:rPr>
        <w:t>。</w:t>
      </w:r>
    </w:p>
    <w:p w14:paraId="2E68B82A">
      <w:pPr>
        <w:widowControl/>
        <w:tabs>
          <w:tab w:val="left" w:pos="312"/>
        </w:tabs>
        <w:spacing w:line="360" w:lineRule="auto"/>
        <w:ind w:firstLine="480" w:firstLineChars="200"/>
        <w:rPr>
          <w:bCs/>
          <w:kern w:val="0"/>
          <w:sz w:val="24"/>
        </w:rPr>
      </w:pPr>
      <w:r>
        <w:rPr>
          <w:rFonts w:hint="eastAsia" w:hAnsi="宋体"/>
          <w:kern w:val="0"/>
          <w:sz w:val="24"/>
        </w:rPr>
        <w:t>5.资金支付方式：</w:t>
      </w:r>
      <w:r>
        <w:rPr>
          <w:rFonts w:hint="eastAsia"/>
          <w:bCs/>
          <w:kern w:val="0"/>
          <w:sz w:val="24"/>
        </w:rPr>
        <w:t>合同签订，支付人民币5万元，提交正式成果，专家评审后再付人民币10万元，待无锡市城管局批复后，结清余款。</w:t>
      </w:r>
    </w:p>
    <w:p w14:paraId="1B50577D">
      <w:pPr>
        <w:widowControl/>
        <w:topLinePunct/>
        <w:spacing w:line="460" w:lineRule="exact"/>
        <w:ind w:firstLine="480"/>
        <w:rPr>
          <w:b/>
          <w:bCs/>
          <w:kern w:val="0"/>
          <w:sz w:val="24"/>
        </w:rPr>
      </w:pPr>
      <w:r>
        <w:rPr>
          <w:rFonts w:hAnsi="宋体"/>
          <w:b/>
          <w:bCs/>
          <w:kern w:val="0"/>
          <w:sz w:val="24"/>
        </w:rPr>
        <w:t>四、采购需求</w:t>
      </w:r>
    </w:p>
    <w:p w14:paraId="7682D223">
      <w:pPr>
        <w:widowControl/>
        <w:spacing w:line="460" w:lineRule="exact"/>
        <w:ind w:firstLine="470" w:firstLineChars="196"/>
        <w:jc w:val="left"/>
        <w:rPr>
          <w:kern w:val="0"/>
          <w:sz w:val="24"/>
        </w:rPr>
      </w:pPr>
      <w:r>
        <w:rPr>
          <w:rFonts w:hAnsi="宋体"/>
          <w:kern w:val="0"/>
          <w:sz w:val="24"/>
        </w:rPr>
        <w:t>（一）采购标的需实现的功能或者目标，以及为落实政府采购政策需满足的要求：</w:t>
      </w:r>
    </w:p>
    <w:p w14:paraId="161372DE">
      <w:pPr>
        <w:widowControl/>
        <w:topLinePunct/>
        <w:spacing w:line="400" w:lineRule="exact"/>
        <w:ind w:firstLine="424" w:firstLineChars="177"/>
        <w:rPr>
          <w:rFonts w:ascii="宋体" w:hAnsi="宋体"/>
          <w:sz w:val="24"/>
          <w:lang w:val="zh-CN"/>
        </w:rPr>
      </w:pPr>
      <w:r>
        <w:rPr>
          <w:kern w:val="0"/>
          <w:sz w:val="24"/>
        </w:rPr>
        <w:t>1.</w:t>
      </w:r>
      <w:r>
        <w:rPr>
          <w:rFonts w:hint="eastAsia" w:ascii="宋体" w:hAnsi="宋体" w:cs="Arial"/>
          <w:sz w:val="24"/>
        </w:rPr>
        <w:t>采购标的需实现的功能或者目标：</w:t>
      </w:r>
      <w:r>
        <w:rPr>
          <w:rFonts w:hint="eastAsia" w:ascii="宋体" w:hAnsi="宋体"/>
          <w:sz w:val="24"/>
          <w:lang w:val="zh-CN"/>
        </w:rPr>
        <w:t>本次招标为</w:t>
      </w:r>
      <w:r>
        <w:rPr>
          <w:rFonts w:hint="eastAsia"/>
          <w:bCs/>
          <w:kern w:val="0"/>
          <w:sz w:val="24"/>
        </w:rPr>
        <w:t>无锡市惠山区户外广告阵地设置规划修编项目</w:t>
      </w:r>
      <w:r>
        <w:rPr>
          <w:rFonts w:hint="eastAsia" w:ascii="宋体" w:hAnsi="宋体"/>
          <w:sz w:val="24"/>
          <w:lang w:val="zh-CN"/>
        </w:rPr>
        <w:t>，需求主要包括：</w:t>
      </w:r>
    </w:p>
    <w:p w14:paraId="7D4871C6">
      <w:pPr>
        <w:spacing w:line="360" w:lineRule="auto"/>
        <w:ind w:firstLine="480" w:firstLineChars="200"/>
        <w:rPr>
          <w:bCs/>
          <w:sz w:val="24"/>
        </w:rPr>
      </w:pPr>
      <w:r>
        <w:rPr>
          <w:rFonts w:hint="eastAsia"/>
          <w:bCs/>
          <w:sz w:val="24"/>
        </w:rPr>
        <w:t>（1）以国土空间规划为基础。衔接惠山区国土空间总体规划、相关专项规划（教育、绿地、城市更新、历史文化等）、各街镇（长安、堰桥、洛社、阳山、钱桥、玉祁、前洲）详细规划。以最新法定详细规划成果为基础，优化完善原有广告设施规划布局，实现多规合一，保证广告落点的可操作性。既有详规单元涉及：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"/>
        <w:gridCol w:w="1665"/>
        <w:gridCol w:w="3400"/>
        <w:gridCol w:w="1516"/>
        <w:gridCol w:w="1255"/>
      </w:tblGrid>
      <w:tr w14:paraId="27481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549" w:type="dxa"/>
          </w:tcPr>
          <w:p w14:paraId="29364CC0">
            <w:pPr>
              <w:jc w:val="center"/>
              <w:rPr>
                <w:rFonts w:ascii="宋体" w:hAnsi="宋体" w:cs="宋体" w:eastAsiaTheme="minorEastAsia"/>
                <w:b/>
                <w:szCs w:val="21"/>
              </w:rPr>
            </w:pPr>
            <w:r>
              <w:rPr>
                <w:rFonts w:hint="eastAsia" w:ascii="宋体" w:hAnsi="宋体" w:cs="宋体" w:eastAsiaTheme="minorEastAsia"/>
                <w:b/>
                <w:szCs w:val="21"/>
              </w:rPr>
              <w:t>序号</w:t>
            </w:r>
          </w:p>
        </w:tc>
        <w:tc>
          <w:tcPr>
            <w:tcW w:w="1665" w:type="dxa"/>
          </w:tcPr>
          <w:p w14:paraId="07994AA3">
            <w:pPr>
              <w:jc w:val="center"/>
              <w:rPr>
                <w:rFonts w:ascii="宋体" w:hAnsi="宋体" w:cs="宋体" w:eastAsiaTheme="minorEastAsia"/>
                <w:b/>
                <w:szCs w:val="21"/>
              </w:rPr>
            </w:pPr>
            <w:r>
              <w:rPr>
                <w:rFonts w:hint="eastAsia" w:ascii="宋体" w:hAnsi="宋体" w:cs="宋体" w:eastAsiaTheme="minorEastAsia"/>
                <w:b/>
                <w:szCs w:val="21"/>
              </w:rPr>
              <w:t>所在行政区</w:t>
            </w:r>
          </w:p>
          <w:p w14:paraId="17E017C6">
            <w:pPr>
              <w:jc w:val="center"/>
              <w:rPr>
                <w:rFonts w:ascii="宋体" w:hAnsi="宋体" w:cs="宋体" w:eastAsiaTheme="minorEastAsia"/>
                <w:b/>
                <w:szCs w:val="21"/>
              </w:rPr>
            </w:pPr>
            <w:r>
              <w:rPr>
                <w:rFonts w:hint="eastAsia" w:ascii="宋体" w:hAnsi="宋体" w:cs="宋体" w:eastAsiaTheme="minorEastAsia"/>
                <w:b/>
                <w:szCs w:val="21"/>
              </w:rPr>
              <w:t>名称</w:t>
            </w:r>
          </w:p>
        </w:tc>
        <w:tc>
          <w:tcPr>
            <w:tcW w:w="3400" w:type="dxa"/>
          </w:tcPr>
          <w:p w14:paraId="6C063205">
            <w:pPr>
              <w:jc w:val="center"/>
              <w:rPr>
                <w:rFonts w:ascii="宋体" w:hAnsi="宋体" w:cs="宋体" w:eastAsiaTheme="minorEastAsia"/>
                <w:b/>
                <w:szCs w:val="21"/>
              </w:rPr>
            </w:pPr>
            <w:r>
              <w:rPr>
                <w:rFonts w:hint="eastAsia" w:ascii="宋体" w:hAnsi="宋体" w:cs="宋体" w:eastAsiaTheme="minorEastAsia"/>
                <w:b/>
                <w:szCs w:val="21"/>
              </w:rPr>
              <w:t>单元名称</w:t>
            </w:r>
          </w:p>
        </w:tc>
        <w:tc>
          <w:tcPr>
            <w:tcW w:w="1516" w:type="dxa"/>
          </w:tcPr>
          <w:p w14:paraId="0C54C543">
            <w:pPr>
              <w:jc w:val="center"/>
              <w:rPr>
                <w:rFonts w:ascii="宋体" w:hAnsi="宋体" w:cs="宋体" w:eastAsiaTheme="minorEastAsia"/>
                <w:b/>
                <w:szCs w:val="21"/>
              </w:rPr>
            </w:pPr>
            <w:r>
              <w:rPr>
                <w:rFonts w:hint="eastAsia" w:ascii="宋体" w:hAnsi="宋体" w:cs="宋体" w:eastAsiaTheme="minorEastAsia"/>
                <w:b/>
                <w:szCs w:val="21"/>
              </w:rPr>
              <w:t>单元编号</w:t>
            </w:r>
          </w:p>
        </w:tc>
        <w:tc>
          <w:tcPr>
            <w:tcW w:w="1255" w:type="dxa"/>
          </w:tcPr>
          <w:p w14:paraId="2560007D">
            <w:pPr>
              <w:jc w:val="center"/>
              <w:rPr>
                <w:rFonts w:ascii="宋体" w:hAnsi="宋体" w:cs="宋体" w:eastAsiaTheme="minorEastAsia"/>
                <w:b/>
                <w:szCs w:val="21"/>
              </w:rPr>
            </w:pPr>
            <w:r>
              <w:rPr>
                <w:rFonts w:hint="eastAsia" w:ascii="宋体" w:hAnsi="宋体" w:cs="宋体" w:eastAsiaTheme="minorEastAsia"/>
                <w:b/>
                <w:szCs w:val="21"/>
              </w:rPr>
              <w:t>单元面积（公顷）</w:t>
            </w:r>
          </w:p>
        </w:tc>
      </w:tr>
      <w:tr w14:paraId="04B15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9" w:type="dxa"/>
          </w:tcPr>
          <w:p w14:paraId="5C885955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1</w:t>
            </w:r>
          </w:p>
        </w:tc>
        <w:tc>
          <w:tcPr>
            <w:tcW w:w="1665" w:type="dxa"/>
          </w:tcPr>
          <w:p w14:paraId="7EC7D5D4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梁溪区、惠山区、锡山区</w:t>
            </w:r>
          </w:p>
        </w:tc>
        <w:tc>
          <w:tcPr>
            <w:tcW w:w="3400" w:type="dxa"/>
          </w:tcPr>
          <w:p w14:paraId="300DB61B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梁溪-梁溪科技城-核心区</w:t>
            </w:r>
          </w:p>
        </w:tc>
        <w:tc>
          <w:tcPr>
            <w:tcW w:w="1516" w:type="dxa"/>
          </w:tcPr>
          <w:p w14:paraId="649E60AF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3202000001</w:t>
            </w:r>
          </w:p>
        </w:tc>
        <w:tc>
          <w:tcPr>
            <w:tcW w:w="1255" w:type="dxa"/>
          </w:tcPr>
          <w:p w14:paraId="14B5E973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688.99</w:t>
            </w:r>
          </w:p>
        </w:tc>
      </w:tr>
      <w:tr w14:paraId="6553E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549" w:type="dxa"/>
          </w:tcPr>
          <w:p w14:paraId="27BEBD34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2</w:t>
            </w:r>
          </w:p>
        </w:tc>
        <w:tc>
          <w:tcPr>
            <w:tcW w:w="1665" w:type="dxa"/>
          </w:tcPr>
          <w:p w14:paraId="60E6A9C4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滨湖区、惠山区</w:t>
            </w:r>
          </w:p>
        </w:tc>
        <w:tc>
          <w:tcPr>
            <w:tcW w:w="3400" w:type="dxa"/>
          </w:tcPr>
          <w:p w14:paraId="23031F2E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滨湖-胡埭-工业园北区</w:t>
            </w:r>
          </w:p>
        </w:tc>
        <w:tc>
          <w:tcPr>
            <w:tcW w:w="1516" w:type="dxa"/>
          </w:tcPr>
          <w:p w14:paraId="605527B2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3202000004</w:t>
            </w:r>
          </w:p>
        </w:tc>
        <w:tc>
          <w:tcPr>
            <w:tcW w:w="1255" w:type="dxa"/>
          </w:tcPr>
          <w:p w14:paraId="5624B9F3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1496.13</w:t>
            </w:r>
          </w:p>
        </w:tc>
      </w:tr>
      <w:tr w14:paraId="4002E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549" w:type="dxa"/>
          </w:tcPr>
          <w:p w14:paraId="5BB5909F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3</w:t>
            </w:r>
          </w:p>
        </w:tc>
        <w:tc>
          <w:tcPr>
            <w:tcW w:w="1665" w:type="dxa"/>
          </w:tcPr>
          <w:p w14:paraId="1CED773E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惠山区、滨湖区</w:t>
            </w:r>
          </w:p>
        </w:tc>
        <w:tc>
          <w:tcPr>
            <w:tcW w:w="3400" w:type="dxa"/>
          </w:tcPr>
          <w:p w14:paraId="1A87B232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惠山-钱桥-职教园</w:t>
            </w:r>
          </w:p>
        </w:tc>
        <w:tc>
          <w:tcPr>
            <w:tcW w:w="1516" w:type="dxa"/>
          </w:tcPr>
          <w:p w14:paraId="0A0E6638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3202000005</w:t>
            </w:r>
          </w:p>
        </w:tc>
        <w:tc>
          <w:tcPr>
            <w:tcW w:w="1255" w:type="dxa"/>
          </w:tcPr>
          <w:p w14:paraId="3756FE62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862.59</w:t>
            </w:r>
          </w:p>
        </w:tc>
      </w:tr>
      <w:tr w14:paraId="4F3EF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9" w:type="dxa"/>
          </w:tcPr>
          <w:p w14:paraId="4A8D2CE1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4</w:t>
            </w:r>
          </w:p>
        </w:tc>
        <w:tc>
          <w:tcPr>
            <w:tcW w:w="1665" w:type="dxa"/>
            <w:vMerge w:val="restart"/>
          </w:tcPr>
          <w:p w14:paraId="555FB76E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</w:p>
          <w:p w14:paraId="303208BB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</w:p>
          <w:p w14:paraId="729712BC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</w:p>
          <w:p w14:paraId="3B4F02D1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</w:p>
          <w:p w14:paraId="49799A2A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</w:p>
          <w:p w14:paraId="251D6191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</w:p>
          <w:p w14:paraId="2CF57C88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</w:p>
          <w:p w14:paraId="099E527F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</w:p>
          <w:p w14:paraId="4DD2D42E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</w:p>
          <w:p w14:paraId="412AF7E1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</w:p>
          <w:p w14:paraId="5615BD37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</w:p>
          <w:p w14:paraId="59C063FF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</w:p>
          <w:p w14:paraId="741F567C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惠山区</w:t>
            </w:r>
          </w:p>
        </w:tc>
        <w:tc>
          <w:tcPr>
            <w:tcW w:w="3400" w:type="dxa"/>
          </w:tcPr>
          <w:p w14:paraId="10A84D48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惠山-玉祁前洲-集聚区西区</w:t>
            </w:r>
          </w:p>
        </w:tc>
        <w:tc>
          <w:tcPr>
            <w:tcW w:w="1516" w:type="dxa"/>
          </w:tcPr>
          <w:p w14:paraId="3FE00CA1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3202060001</w:t>
            </w:r>
          </w:p>
        </w:tc>
        <w:tc>
          <w:tcPr>
            <w:tcW w:w="1255" w:type="dxa"/>
          </w:tcPr>
          <w:p w14:paraId="0C1FE1EC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818.82</w:t>
            </w:r>
          </w:p>
        </w:tc>
      </w:tr>
      <w:tr w14:paraId="6B5F2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549" w:type="dxa"/>
          </w:tcPr>
          <w:p w14:paraId="12B00173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5</w:t>
            </w:r>
          </w:p>
        </w:tc>
        <w:tc>
          <w:tcPr>
            <w:tcW w:w="1665" w:type="dxa"/>
            <w:vMerge w:val="continue"/>
          </w:tcPr>
          <w:p w14:paraId="780E79E2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</w:p>
        </w:tc>
        <w:tc>
          <w:tcPr>
            <w:tcW w:w="3400" w:type="dxa"/>
          </w:tcPr>
          <w:p w14:paraId="2894EA76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惠山-玉祁前洲-集聚区东区</w:t>
            </w:r>
          </w:p>
        </w:tc>
        <w:tc>
          <w:tcPr>
            <w:tcW w:w="1516" w:type="dxa"/>
          </w:tcPr>
          <w:p w14:paraId="4CD10332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3202060002</w:t>
            </w:r>
          </w:p>
        </w:tc>
        <w:tc>
          <w:tcPr>
            <w:tcW w:w="1255" w:type="dxa"/>
          </w:tcPr>
          <w:p w14:paraId="543E6F84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628.03</w:t>
            </w:r>
          </w:p>
        </w:tc>
      </w:tr>
      <w:tr w14:paraId="29B78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549" w:type="dxa"/>
          </w:tcPr>
          <w:p w14:paraId="3D311025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6</w:t>
            </w:r>
          </w:p>
        </w:tc>
        <w:tc>
          <w:tcPr>
            <w:tcW w:w="1665" w:type="dxa"/>
            <w:vMerge w:val="continue"/>
          </w:tcPr>
          <w:p w14:paraId="16282123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</w:p>
        </w:tc>
        <w:tc>
          <w:tcPr>
            <w:tcW w:w="3400" w:type="dxa"/>
          </w:tcPr>
          <w:p w14:paraId="627749C7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惠山-玉祁前洲-玉祁</w:t>
            </w:r>
          </w:p>
        </w:tc>
        <w:tc>
          <w:tcPr>
            <w:tcW w:w="1516" w:type="dxa"/>
          </w:tcPr>
          <w:p w14:paraId="5501DA33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3202060003</w:t>
            </w:r>
          </w:p>
        </w:tc>
        <w:tc>
          <w:tcPr>
            <w:tcW w:w="1255" w:type="dxa"/>
          </w:tcPr>
          <w:p w14:paraId="0E042F34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1223.63</w:t>
            </w:r>
          </w:p>
        </w:tc>
      </w:tr>
      <w:tr w14:paraId="63B20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549" w:type="dxa"/>
          </w:tcPr>
          <w:p w14:paraId="21F59355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7</w:t>
            </w:r>
          </w:p>
        </w:tc>
        <w:tc>
          <w:tcPr>
            <w:tcW w:w="1665" w:type="dxa"/>
            <w:vMerge w:val="continue"/>
          </w:tcPr>
          <w:p w14:paraId="3C03A0C4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</w:p>
        </w:tc>
        <w:tc>
          <w:tcPr>
            <w:tcW w:w="3400" w:type="dxa"/>
          </w:tcPr>
          <w:p w14:paraId="78938837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惠山-玉祁前洲-前洲</w:t>
            </w:r>
          </w:p>
        </w:tc>
        <w:tc>
          <w:tcPr>
            <w:tcW w:w="1516" w:type="dxa"/>
          </w:tcPr>
          <w:p w14:paraId="7CB99E84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3202060004</w:t>
            </w:r>
          </w:p>
        </w:tc>
        <w:tc>
          <w:tcPr>
            <w:tcW w:w="1255" w:type="dxa"/>
          </w:tcPr>
          <w:p w14:paraId="6003085B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1686.39</w:t>
            </w:r>
          </w:p>
        </w:tc>
      </w:tr>
      <w:tr w14:paraId="56EC1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549" w:type="dxa"/>
          </w:tcPr>
          <w:p w14:paraId="72B0EB36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8</w:t>
            </w:r>
          </w:p>
        </w:tc>
        <w:tc>
          <w:tcPr>
            <w:tcW w:w="1665" w:type="dxa"/>
            <w:vMerge w:val="continue"/>
          </w:tcPr>
          <w:p w14:paraId="0CD3B3F8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</w:p>
        </w:tc>
        <w:tc>
          <w:tcPr>
            <w:tcW w:w="3400" w:type="dxa"/>
          </w:tcPr>
          <w:p w14:paraId="0B893F45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惠山-玉祁前洲-城铁核心区</w:t>
            </w:r>
          </w:p>
        </w:tc>
        <w:tc>
          <w:tcPr>
            <w:tcW w:w="1516" w:type="dxa"/>
          </w:tcPr>
          <w:p w14:paraId="49A2296D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3202060005</w:t>
            </w:r>
          </w:p>
        </w:tc>
        <w:tc>
          <w:tcPr>
            <w:tcW w:w="1255" w:type="dxa"/>
          </w:tcPr>
          <w:p w14:paraId="3AB20B35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680.57</w:t>
            </w:r>
          </w:p>
        </w:tc>
      </w:tr>
      <w:tr w14:paraId="58823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549" w:type="dxa"/>
          </w:tcPr>
          <w:p w14:paraId="20B0B740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9</w:t>
            </w:r>
          </w:p>
        </w:tc>
        <w:tc>
          <w:tcPr>
            <w:tcW w:w="1665" w:type="dxa"/>
            <w:vMerge w:val="continue"/>
          </w:tcPr>
          <w:p w14:paraId="0B43C376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</w:p>
        </w:tc>
        <w:tc>
          <w:tcPr>
            <w:tcW w:w="3400" w:type="dxa"/>
          </w:tcPr>
          <w:p w14:paraId="4399A752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惠山-新城-金惠</w:t>
            </w:r>
          </w:p>
        </w:tc>
        <w:tc>
          <w:tcPr>
            <w:tcW w:w="1516" w:type="dxa"/>
          </w:tcPr>
          <w:p w14:paraId="465060FB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3202060006</w:t>
            </w:r>
          </w:p>
        </w:tc>
        <w:tc>
          <w:tcPr>
            <w:tcW w:w="1255" w:type="dxa"/>
          </w:tcPr>
          <w:p w14:paraId="56B89340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1974.51</w:t>
            </w:r>
          </w:p>
        </w:tc>
      </w:tr>
      <w:tr w14:paraId="42271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549" w:type="dxa"/>
          </w:tcPr>
          <w:p w14:paraId="5925A5EC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10</w:t>
            </w:r>
          </w:p>
        </w:tc>
        <w:tc>
          <w:tcPr>
            <w:tcW w:w="1665" w:type="dxa"/>
            <w:vMerge w:val="continue"/>
          </w:tcPr>
          <w:p w14:paraId="4DA12EE0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</w:p>
        </w:tc>
        <w:tc>
          <w:tcPr>
            <w:tcW w:w="3400" w:type="dxa"/>
          </w:tcPr>
          <w:p w14:paraId="3D170887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惠山-新城-核心区</w:t>
            </w:r>
          </w:p>
        </w:tc>
        <w:tc>
          <w:tcPr>
            <w:tcW w:w="1516" w:type="dxa"/>
          </w:tcPr>
          <w:p w14:paraId="4349D12A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3202060007</w:t>
            </w:r>
          </w:p>
        </w:tc>
        <w:tc>
          <w:tcPr>
            <w:tcW w:w="1255" w:type="dxa"/>
          </w:tcPr>
          <w:p w14:paraId="334C5E22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1835.43</w:t>
            </w:r>
          </w:p>
        </w:tc>
      </w:tr>
      <w:tr w14:paraId="08F4D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549" w:type="dxa"/>
          </w:tcPr>
          <w:p w14:paraId="25F5CF95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11</w:t>
            </w:r>
          </w:p>
        </w:tc>
        <w:tc>
          <w:tcPr>
            <w:tcW w:w="1665" w:type="dxa"/>
            <w:vMerge w:val="continue"/>
          </w:tcPr>
          <w:p w14:paraId="53A114EC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</w:p>
        </w:tc>
        <w:tc>
          <w:tcPr>
            <w:tcW w:w="3400" w:type="dxa"/>
          </w:tcPr>
          <w:p w14:paraId="13142807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惠山-新城-长安</w:t>
            </w:r>
          </w:p>
        </w:tc>
        <w:tc>
          <w:tcPr>
            <w:tcW w:w="1516" w:type="dxa"/>
          </w:tcPr>
          <w:p w14:paraId="55AEF929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3202060008</w:t>
            </w:r>
          </w:p>
        </w:tc>
        <w:tc>
          <w:tcPr>
            <w:tcW w:w="1255" w:type="dxa"/>
          </w:tcPr>
          <w:p w14:paraId="14C2603D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1404.60</w:t>
            </w:r>
          </w:p>
        </w:tc>
      </w:tr>
      <w:tr w14:paraId="5B6D9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549" w:type="dxa"/>
          </w:tcPr>
          <w:p w14:paraId="675A5F84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12</w:t>
            </w:r>
          </w:p>
        </w:tc>
        <w:tc>
          <w:tcPr>
            <w:tcW w:w="1665" w:type="dxa"/>
            <w:vMerge w:val="continue"/>
          </w:tcPr>
          <w:p w14:paraId="6AE4A441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</w:p>
        </w:tc>
        <w:tc>
          <w:tcPr>
            <w:tcW w:w="3400" w:type="dxa"/>
          </w:tcPr>
          <w:p w14:paraId="6DC9FD9E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梁溪-梁溪科技城-天一</w:t>
            </w:r>
          </w:p>
        </w:tc>
        <w:tc>
          <w:tcPr>
            <w:tcW w:w="1516" w:type="dxa"/>
          </w:tcPr>
          <w:p w14:paraId="4543DB61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3202060009</w:t>
            </w:r>
          </w:p>
        </w:tc>
        <w:tc>
          <w:tcPr>
            <w:tcW w:w="1255" w:type="dxa"/>
          </w:tcPr>
          <w:p w14:paraId="623D00D0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755.78</w:t>
            </w:r>
          </w:p>
        </w:tc>
      </w:tr>
      <w:tr w14:paraId="05434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549" w:type="dxa"/>
          </w:tcPr>
          <w:p w14:paraId="37136A14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13</w:t>
            </w:r>
          </w:p>
        </w:tc>
        <w:tc>
          <w:tcPr>
            <w:tcW w:w="1665" w:type="dxa"/>
            <w:vMerge w:val="continue"/>
          </w:tcPr>
          <w:p w14:paraId="193FC9CE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</w:p>
        </w:tc>
        <w:tc>
          <w:tcPr>
            <w:tcW w:w="3400" w:type="dxa"/>
          </w:tcPr>
          <w:p w14:paraId="7F814158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梁溪-梁溪科技城-西漳</w:t>
            </w:r>
          </w:p>
        </w:tc>
        <w:tc>
          <w:tcPr>
            <w:tcW w:w="1516" w:type="dxa"/>
          </w:tcPr>
          <w:p w14:paraId="4E50BDBA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3202060010</w:t>
            </w:r>
          </w:p>
        </w:tc>
        <w:tc>
          <w:tcPr>
            <w:tcW w:w="1255" w:type="dxa"/>
          </w:tcPr>
          <w:p w14:paraId="711F0DCB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517.83</w:t>
            </w:r>
          </w:p>
        </w:tc>
      </w:tr>
      <w:tr w14:paraId="23EED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549" w:type="dxa"/>
          </w:tcPr>
          <w:p w14:paraId="24F1C2AF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14</w:t>
            </w:r>
          </w:p>
        </w:tc>
        <w:tc>
          <w:tcPr>
            <w:tcW w:w="1665" w:type="dxa"/>
            <w:vMerge w:val="continue"/>
          </w:tcPr>
          <w:p w14:paraId="1F7E4C13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</w:p>
        </w:tc>
        <w:tc>
          <w:tcPr>
            <w:tcW w:w="3400" w:type="dxa"/>
          </w:tcPr>
          <w:p w14:paraId="3AA61F41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惠山-洛社-高新区</w:t>
            </w:r>
          </w:p>
        </w:tc>
        <w:tc>
          <w:tcPr>
            <w:tcW w:w="1516" w:type="dxa"/>
          </w:tcPr>
          <w:p w14:paraId="63A49C5C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3202060011</w:t>
            </w:r>
          </w:p>
        </w:tc>
        <w:tc>
          <w:tcPr>
            <w:tcW w:w="1255" w:type="dxa"/>
          </w:tcPr>
          <w:p w14:paraId="7A3C8AAE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1013.22</w:t>
            </w:r>
          </w:p>
        </w:tc>
      </w:tr>
      <w:tr w14:paraId="02E46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549" w:type="dxa"/>
          </w:tcPr>
          <w:p w14:paraId="4D5019A4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15</w:t>
            </w:r>
          </w:p>
        </w:tc>
        <w:tc>
          <w:tcPr>
            <w:tcW w:w="1665" w:type="dxa"/>
            <w:vMerge w:val="continue"/>
          </w:tcPr>
          <w:p w14:paraId="03BC5BBA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</w:p>
        </w:tc>
        <w:tc>
          <w:tcPr>
            <w:tcW w:w="3400" w:type="dxa"/>
          </w:tcPr>
          <w:p w14:paraId="16326C02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惠山-洛社-杨市</w:t>
            </w:r>
          </w:p>
        </w:tc>
        <w:tc>
          <w:tcPr>
            <w:tcW w:w="1516" w:type="dxa"/>
          </w:tcPr>
          <w:p w14:paraId="2DC535A6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3202060012</w:t>
            </w:r>
          </w:p>
        </w:tc>
        <w:tc>
          <w:tcPr>
            <w:tcW w:w="1255" w:type="dxa"/>
          </w:tcPr>
          <w:p w14:paraId="5BF63D80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278.83</w:t>
            </w:r>
          </w:p>
        </w:tc>
      </w:tr>
      <w:tr w14:paraId="7E0B7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549" w:type="dxa"/>
          </w:tcPr>
          <w:p w14:paraId="4D82D1F2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16</w:t>
            </w:r>
          </w:p>
        </w:tc>
        <w:tc>
          <w:tcPr>
            <w:tcW w:w="1665" w:type="dxa"/>
            <w:vMerge w:val="continue"/>
          </w:tcPr>
          <w:p w14:paraId="0B9A0174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</w:p>
        </w:tc>
        <w:tc>
          <w:tcPr>
            <w:tcW w:w="3400" w:type="dxa"/>
          </w:tcPr>
          <w:p w14:paraId="51000BF4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惠山-洛社-洛社</w:t>
            </w:r>
          </w:p>
        </w:tc>
        <w:tc>
          <w:tcPr>
            <w:tcW w:w="1516" w:type="dxa"/>
          </w:tcPr>
          <w:p w14:paraId="0E723E64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3202060013</w:t>
            </w:r>
          </w:p>
        </w:tc>
        <w:tc>
          <w:tcPr>
            <w:tcW w:w="1255" w:type="dxa"/>
          </w:tcPr>
          <w:p w14:paraId="2F6D5895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728.58</w:t>
            </w:r>
          </w:p>
        </w:tc>
      </w:tr>
      <w:tr w14:paraId="1BEED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549" w:type="dxa"/>
          </w:tcPr>
          <w:p w14:paraId="150EF31B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17</w:t>
            </w:r>
          </w:p>
        </w:tc>
        <w:tc>
          <w:tcPr>
            <w:tcW w:w="1665" w:type="dxa"/>
            <w:vMerge w:val="continue"/>
          </w:tcPr>
          <w:p w14:paraId="59180D2A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</w:p>
        </w:tc>
        <w:tc>
          <w:tcPr>
            <w:tcW w:w="3400" w:type="dxa"/>
          </w:tcPr>
          <w:p w14:paraId="3548D6CD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惠山-洛社-洛南</w:t>
            </w:r>
          </w:p>
        </w:tc>
        <w:tc>
          <w:tcPr>
            <w:tcW w:w="1516" w:type="dxa"/>
          </w:tcPr>
          <w:p w14:paraId="7B6EC021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3202060014</w:t>
            </w:r>
          </w:p>
        </w:tc>
        <w:tc>
          <w:tcPr>
            <w:tcW w:w="1255" w:type="dxa"/>
          </w:tcPr>
          <w:p w14:paraId="3389127A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653.26</w:t>
            </w:r>
          </w:p>
        </w:tc>
      </w:tr>
      <w:tr w14:paraId="73351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549" w:type="dxa"/>
          </w:tcPr>
          <w:p w14:paraId="3307C93E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18</w:t>
            </w:r>
          </w:p>
        </w:tc>
        <w:tc>
          <w:tcPr>
            <w:tcW w:w="1665" w:type="dxa"/>
            <w:vMerge w:val="continue"/>
          </w:tcPr>
          <w:p w14:paraId="02A85287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</w:p>
        </w:tc>
        <w:tc>
          <w:tcPr>
            <w:tcW w:w="3400" w:type="dxa"/>
          </w:tcPr>
          <w:p w14:paraId="69E8BAC5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惠山-洛社-西站物流园</w:t>
            </w:r>
          </w:p>
        </w:tc>
        <w:tc>
          <w:tcPr>
            <w:tcW w:w="1516" w:type="dxa"/>
          </w:tcPr>
          <w:p w14:paraId="314DC80D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3202060015</w:t>
            </w:r>
          </w:p>
        </w:tc>
        <w:tc>
          <w:tcPr>
            <w:tcW w:w="1255" w:type="dxa"/>
          </w:tcPr>
          <w:p w14:paraId="74BC32DC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426.05</w:t>
            </w:r>
          </w:p>
        </w:tc>
      </w:tr>
      <w:tr w14:paraId="326F6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549" w:type="dxa"/>
          </w:tcPr>
          <w:p w14:paraId="0AA3F7B4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19</w:t>
            </w:r>
          </w:p>
        </w:tc>
        <w:tc>
          <w:tcPr>
            <w:tcW w:w="1665" w:type="dxa"/>
            <w:vMerge w:val="continue"/>
          </w:tcPr>
          <w:p w14:paraId="2461A155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</w:p>
        </w:tc>
        <w:tc>
          <w:tcPr>
            <w:tcW w:w="3400" w:type="dxa"/>
          </w:tcPr>
          <w:p w14:paraId="238D6E87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惠山-洛社-石塘湾社区</w:t>
            </w:r>
          </w:p>
        </w:tc>
        <w:tc>
          <w:tcPr>
            <w:tcW w:w="1516" w:type="dxa"/>
          </w:tcPr>
          <w:p w14:paraId="28FDBAC3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3202060016</w:t>
            </w:r>
          </w:p>
        </w:tc>
        <w:tc>
          <w:tcPr>
            <w:tcW w:w="1255" w:type="dxa"/>
          </w:tcPr>
          <w:p w14:paraId="40591946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780.38</w:t>
            </w:r>
          </w:p>
        </w:tc>
      </w:tr>
      <w:tr w14:paraId="7E3B1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549" w:type="dxa"/>
          </w:tcPr>
          <w:p w14:paraId="7E96F20D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20</w:t>
            </w:r>
          </w:p>
        </w:tc>
        <w:tc>
          <w:tcPr>
            <w:tcW w:w="1665" w:type="dxa"/>
            <w:vMerge w:val="continue"/>
          </w:tcPr>
          <w:p w14:paraId="2A38AFE1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</w:p>
        </w:tc>
        <w:tc>
          <w:tcPr>
            <w:tcW w:w="3400" w:type="dxa"/>
          </w:tcPr>
          <w:p w14:paraId="60918C07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惠山-洛社-雅西</w:t>
            </w:r>
          </w:p>
        </w:tc>
        <w:tc>
          <w:tcPr>
            <w:tcW w:w="1516" w:type="dxa"/>
          </w:tcPr>
          <w:p w14:paraId="3E291EC3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3202060017</w:t>
            </w:r>
          </w:p>
        </w:tc>
        <w:tc>
          <w:tcPr>
            <w:tcW w:w="1255" w:type="dxa"/>
          </w:tcPr>
          <w:p w14:paraId="5A811F9B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592.92</w:t>
            </w:r>
          </w:p>
        </w:tc>
      </w:tr>
      <w:tr w14:paraId="60BE7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549" w:type="dxa"/>
          </w:tcPr>
          <w:p w14:paraId="67843BC8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21</w:t>
            </w:r>
          </w:p>
        </w:tc>
        <w:tc>
          <w:tcPr>
            <w:tcW w:w="1665" w:type="dxa"/>
            <w:vMerge w:val="continue"/>
          </w:tcPr>
          <w:p w14:paraId="7693E577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</w:p>
        </w:tc>
        <w:tc>
          <w:tcPr>
            <w:tcW w:w="3400" w:type="dxa"/>
          </w:tcPr>
          <w:p w14:paraId="0779015C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惠山-阳山-阳山</w:t>
            </w:r>
          </w:p>
        </w:tc>
        <w:tc>
          <w:tcPr>
            <w:tcW w:w="1516" w:type="dxa"/>
          </w:tcPr>
          <w:p w14:paraId="78DD22FD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32020600018</w:t>
            </w:r>
          </w:p>
        </w:tc>
        <w:tc>
          <w:tcPr>
            <w:tcW w:w="1255" w:type="dxa"/>
          </w:tcPr>
          <w:p w14:paraId="067D36C3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865.06</w:t>
            </w:r>
          </w:p>
        </w:tc>
      </w:tr>
      <w:tr w14:paraId="73C9A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549" w:type="dxa"/>
          </w:tcPr>
          <w:p w14:paraId="48B9A191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22</w:t>
            </w:r>
          </w:p>
        </w:tc>
        <w:tc>
          <w:tcPr>
            <w:tcW w:w="1665" w:type="dxa"/>
            <w:vMerge w:val="continue"/>
          </w:tcPr>
          <w:p w14:paraId="4D0E1A40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</w:p>
        </w:tc>
        <w:tc>
          <w:tcPr>
            <w:tcW w:w="3400" w:type="dxa"/>
          </w:tcPr>
          <w:p w14:paraId="74F1CD32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惠山-阳山-阳山旅游度假区</w:t>
            </w:r>
          </w:p>
        </w:tc>
        <w:tc>
          <w:tcPr>
            <w:tcW w:w="1516" w:type="dxa"/>
          </w:tcPr>
          <w:p w14:paraId="1363032F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3202060019</w:t>
            </w:r>
          </w:p>
        </w:tc>
        <w:tc>
          <w:tcPr>
            <w:tcW w:w="1255" w:type="dxa"/>
          </w:tcPr>
          <w:p w14:paraId="59A64D32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1750.33</w:t>
            </w:r>
          </w:p>
        </w:tc>
      </w:tr>
      <w:tr w14:paraId="007D3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549" w:type="dxa"/>
          </w:tcPr>
          <w:p w14:paraId="2FBB6DF8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23</w:t>
            </w:r>
          </w:p>
        </w:tc>
        <w:tc>
          <w:tcPr>
            <w:tcW w:w="1665" w:type="dxa"/>
            <w:vMerge w:val="continue"/>
          </w:tcPr>
          <w:p w14:paraId="7B20AB5A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</w:p>
        </w:tc>
        <w:tc>
          <w:tcPr>
            <w:tcW w:w="3400" w:type="dxa"/>
          </w:tcPr>
          <w:p w14:paraId="0E7E1FD4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惠山-钱桥-钱桥西</w:t>
            </w:r>
          </w:p>
        </w:tc>
        <w:tc>
          <w:tcPr>
            <w:tcW w:w="1516" w:type="dxa"/>
          </w:tcPr>
          <w:p w14:paraId="763C92FE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3202060020</w:t>
            </w:r>
          </w:p>
        </w:tc>
        <w:tc>
          <w:tcPr>
            <w:tcW w:w="1255" w:type="dxa"/>
          </w:tcPr>
          <w:p w14:paraId="221146B2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1092.63</w:t>
            </w:r>
          </w:p>
        </w:tc>
      </w:tr>
      <w:tr w14:paraId="12EEA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549" w:type="dxa"/>
          </w:tcPr>
          <w:p w14:paraId="507729DA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24</w:t>
            </w:r>
          </w:p>
        </w:tc>
        <w:tc>
          <w:tcPr>
            <w:tcW w:w="1665" w:type="dxa"/>
            <w:vMerge w:val="continue"/>
          </w:tcPr>
          <w:p w14:paraId="6EABADA8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</w:p>
        </w:tc>
        <w:tc>
          <w:tcPr>
            <w:tcW w:w="3400" w:type="dxa"/>
          </w:tcPr>
          <w:p w14:paraId="066454AD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惠山-钱桥-钱桥东</w:t>
            </w:r>
          </w:p>
        </w:tc>
        <w:tc>
          <w:tcPr>
            <w:tcW w:w="1516" w:type="dxa"/>
          </w:tcPr>
          <w:p w14:paraId="38BF65D3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3202060021</w:t>
            </w:r>
          </w:p>
        </w:tc>
        <w:tc>
          <w:tcPr>
            <w:tcW w:w="1255" w:type="dxa"/>
          </w:tcPr>
          <w:p w14:paraId="5E37B1BB">
            <w:pPr>
              <w:jc w:val="center"/>
              <w:rPr>
                <w:rFonts w:ascii="宋体" w:hAnsi="宋体" w:cs="宋体" w:eastAsiaTheme="minorEastAsia"/>
                <w:bCs/>
                <w:szCs w:val="21"/>
              </w:rPr>
            </w:pPr>
            <w:r>
              <w:rPr>
                <w:rFonts w:hint="eastAsia" w:ascii="宋体" w:hAnsi="宋体" w:cs="宋体" w:eastAsiaTheme="minorEastAsia"/>
                <w:bCs/>
                <w:szCs w:val="21"/>
              </w:rPr>
              <w:t>1340.87</w:t>
            </w:r>
          </w:p>
        </w:tc>
      </w:tr>
    </w:tbl>
    <w:p w14:paraId="3079DF9A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bCs/>
          <w:sz w:val="24"/>
        </w:rPr>
        <w:t>（2）开展分区规划控制。结合惠山区近年来城市建设以及未来规划的发展，</w:t>
      </w:r>
      <w:r>
        <w:rPr>
          <w:rFonts w:hint="eastAsia"/>
          <w:sz w:val="24"/>
        </w:rPr>
        <w:t>根据城市不同区域特征，从</w:t>
      </w:r>
      <w:r>
        <w:rPr>
          <w:rFonts w:hint="eastAsia"/>
          <w:bCs/>
          <w:sz w:val="24"/>
        </w:rPr>
        <w:t>惠山区</w:t>
      </w:r>
      <w:r>
        <w:rPr>
          <w:sz w:val="24"/>
        </w:rPr>
        <w:t>整体区域层面</w:t>
      </w:r>
      <w:r>
        <w:rPr>
          <w:rFonts w:hint="eastAsia"/>
          <w:sz w:val="24"/>
        </w:rPr>
        <w:t>明确集中展示区、适量设置区、控制设置区、禁止设置区的分区范围和控制目标，确定不同</w:t>
      </w:r>
      <w:r>
        <w:rPr>
          <w:sz w:val="24"/>
        </w:rPr>
        <w:t>区域内</w:t>
      </w:r>
      <w:r>
        <w:rPr>
          <w:rFonts w:hint="eastAsia"/>
          <w:sz w:val="24"/>
        </w:rPr>
        <w:t>户外广告设置策略和控制要求。</w:t>
      </w:r>
    </w:p>
    <w:p w14:paraId="301339F7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bCs/>
          <w:sz w:val="24"/>
        </w:rPr>
        <w:t>（3）结合国空用地与道路进行规划布点。分析确定重点区域、主要道路，</w:t>
      </w:r>
      <w:r>
        <w:rPr>
          <w:rFonts w:hint="eastAsia"/>
          <w:sz w:val="24"/>
        </w:rPr>
        <w:t>依据</w:t>
      </w:r>
      <w:r>
        <w:rPr>
          <w:sz w:val="24"/>
        </w:rPr>
        <w:t>道路所承担的职能</w:t>
      </w:r>
      <w:r>
        <w:rPr>
          <w:rFonts w:hint="eastAsia"/>
          <w:sz w:val="24"/>
        </w:rPr>
        <w:t>、</w:t>
      </w:r>
      <w:r>
        <w:rPr>
          <w:sz w:val="24"/>
        </w:rPr>
        <w:t>周边用地性质及建筑样式，</w:t>
      </w:r>
      <w:r>
        <w:rPr>
          <w:rFonts w:hint="eastAsia"/>
          <w:sz w:val="24"/>
        </w:rPr>
        <w:t>以最新国土空间详细规划为基础，划定</w:t>
      </w:r>
      <w:r>
        <w:rPr>
          <w:sz w:val="24"/>
        </w:rPr>
        <w:t>道路</w:t>
      </w:r>
      <w:r>
        <w:rPr>
          <w:rFonts w:hint="eastAsia"/>
          <w:sz w:val="24"/>
        </w:rPr>
        <w:t>集中展示路段、适量控制路段编、引导设置路段、禁止设置路段，对</w:t>
      </w:r>
      <w:r>
        <w:rPr>
          <w:sz w:val="24"/>
        </w:rPr>
        <w:t>户外广告设施进行整体</w:t>
      </w:r>
      <w:r>
        <w:rPr>
          <w:rFonts w:hint="eastAsia"/>
          <w:sz w:val="24"/>
        </w:rPr>
        <w:t>分类</w:t>
      </w:r>
      <w:r>
        <w:rPr>
          <w:sz w:val="24"/>
        </w:rPr>
        <w:t>控制</w:t>
      </w:r>
      <w:r>
        <w:rPr>
          <w:rFonts w:hint="eastAsia"/>
          <w:sz w:val="24"/>
        </w:rPr>
        <w:t>。用地与道路沿线广告控制执行标准：</w:t>
      </w:r>
    </w:p>
    <w:p w14:paraId="74384D72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1）用地类型划分</w:t>
      </w:r>
    </w:p>
    <w:p w14:paraId="6EF91F65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①Ⅰ类用地：行政办公用地、文物古迹用地、外事用地、宗教用地、殡葬设施用地、特殊用地、中小学用地。</w:t>
      </w:r>
    </w:p>
    <w:p w14:paraId="2E437E79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②Ⅱ类用地：居住用地、医疗卫生用地、教育科研设计用地、文化设施用地、社会福利用地、公园绿地、广场用地、河流水域。</w:t>
      </w:r>
    </w:p>
    <w:p w14:paraId="205B376B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③Ⅲ类用地：工业用地、交通枢纽用地、物流仓储用地、交通场站用地、公共设施用地、体育用地、防护绿地、区域交通设施用地、公用设施营业网点用地。</w:t>
      </w:r>
    </w:p>
    <w:p w14:paraId="1E107C71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④Ⅳ类用地：商业金融用地、娱乐康体用地、其他服务设施用地。</w:t>
      </w:r>
    </w:p>
    <w:p w14:paraId="3B7C4088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2）道路类型划分</w:t>
      </w:r>
    </w:p>
    <w:p w14:paraId="11434E1A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依据城市总体规划，对道路分成四类，</w:t>
      </w:r>
      <w:r>
        <w:rPr>
          <w:sz w:val="24"/>
        </w:rPr>
        <w:t>A——</w:t>
      </w:r>
      <w:r>
        <w:rPr>
          <w:rFonts w:hint="eastAsia"/>
          <w:sz w:val="24"/>
        </w:rPr>
        <w:t>快速路；</w:t>
      </w:r>
      <w:r>
        <w:rPr>
          <w:sz w:val="24"/>
        </w:rPr>
        <w:t>B——</w:t>
      </w:r>
      <w:r>
        <w:rPr>
          <w:rFonts w:hint="eastAsia"/>
          <w:sz w:val="24"/>
        </w:rPr>
        <w:t>主干道；</w:t>
      </w:r>
      <w:r>
        <w:rPr>
          <w:sz w:val="24"/>
        </w:rPr>
        <w:t>C——</w:t>
      </w:r>
      <w:r>
        <w:rPr>
          <w:rFonts w:hint="eastAsia"/>
          <w:sz w:val="24"/>
        </w:rPr>
        <w:t>次干道；</w:t>
      </w:r>
      <w:r>
        <w:rPr>
          <w:sz w:val="24"/>
        </w:rPr>
        <w:t>D——</w:t>
      </w:r>
      <w:r>
        <w:rPr>
          <w:rFonts w:hint="eastAsia"/>
          <w:sz w:val="24"/>
        </w:rPr>
        <w:t>支路。</w:t>
      </w:r>
    </w:p>
    <w:p w14:paraId="5E49D272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3）道路分类控制类型</w:t>
      </w:r>
    </w:p>
    <w:p w14:paraId="2EC2EF95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根据城市规划功能分区，将城市道路的交通等级与用地性质相叠加，以对应的各道路等级以及周边用地性质对户外广告的控制程度，将道路交通边界分为</w:t>
      </w:r>
      <w:r>
        <w:rPr>
          <w:sz w:val="24"/>
        </w:rPr>
        <w:t>16</w:t>
      </w:r>
      <w:r>
        <w:rPr>
          <w:rFonts w:hint="eastAsia"/>
          <w:sz w:val="24"/>
        </w:rPr>
        <w:t>种控制类型。</w:t>
      </w:r>
    </w:p>
    <w:p w14:paraId="475092E0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①集中展示路段编号范围：</w:t>
      </w:r>
      <w:r>
        <w:rPr>
          <w:sz w:val="24"/>
        </w:rPr>
        <w:t>B-</w:t>
      </w:r>
      <w:r>
        <w:rPr>
          <w:rFonts w:hint="eastAsia"/>
          <w:sz w:val="24"/>
        </w:rPr>
        <w:t>Ⅳ</w:t>
      </w:r>
      <w:r>
        <w:rPr>
          <w:sz w:val="24"/>
        </w:rPr>
        <w:t>(</w:t>
      </w:r>
      <w:r>
        <w:rPr>
          <w:rFonts w:hint="eastAsia"/>
          <w:sz w:val="24"/>
        </w:rPr>
        <w:t>主干道</w:t>
      </w:r>
      <w:r>
        <w:rPr>
          <w:sz w:val="24"/>
        </w:rPr>
        <w:t>-</w:t>
      </w:r>
      <w:r>
        <w:rPr>
          <w:rFonts w:hint="eastAsia"/>
          <w:sz w:val="24"/>
        </w:rPr>
        <w:t>四类用地集中展示路段</w:t>
      </w:r>
      <w:r>
        <w:rPr>
          <w:sz w:val="24"/>
        </w:rPr>
        <w:t>)</w:t>
      </w:r>
      <w:r>
        <w:rPr>
          <w:rFonts w:hint="eastAsia"/>
          <w:sz w:val="24"/>
        </w:rPr>
        <w:t>，</w:t>
      </w:r>
      <w:r>
        <w:rPr>
          <w:sz w:val="24"/>
        </w:rPr>
        <w:t xml:space="preserve"> C-</w:t>
      </w:r>
      <w:r>
        <w:rPr>
          <w:rFonts w:hint="eastAsia"/>
          <w:sz w:val="24"/>
        </w:rPr>
        <w:t>Ⅳ（次干道</w:t>
      </w:r>
      <w:r>
        <w:rPr>
          <w:sz w:val="24"/>
        </w:rPr>
        <w:t>-</w:t>
      </w:r>
      <w:r>
        <w:rPr>
          <w:rFonts w:hint="eastAsia"/>
          <w:sz w:val="24"/>
        </w:rPr>
        <w:t>四类用地集中展示路段），</w:t>
      </w:r>
      <w:r>
        <w:rPr>
          <w:sz w:val="24"/>
        </w:rPr>
        <w:t>D-</w:t>
      </w:r>
      <w:r>
        <w:rPr>
          <w:rFonts w:hint="eastAsia"/>
          <w:sz w:val="24"/>
        </w:rPr>
        <w:t>Ⅳ（支路</w:t>
      </w:r>
      <w:r>
        <w:rPr>
          <w:sz w:val="24"/>
        </w:rPr>
        <w:t>-</w:t>
      </w:r>
      <w:r>
        <w:rPr>
          <w:rFonts w:hint="eastAsia"/>
          <w:sz w:val="24"/>
        </w:rPr>
        <w:t>四类用地集中展示路段）。</w:t>
      </w:r>
    </w:p>
    <w:p w14:paraId="44A2D6CC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②适量控制路段编号范围：</w:t>
      </w:r>
      <w:r>
        <w:rPr>
          <w:sz w:val="24"/>
        </w:rPr>
        <w:t>A-</w:t>
      </w:r>
      <w:r>
        <w:rPr>
          <w:rFonts w:hint="eastAsia"/>
          <w:sz w:val="24"/>
        </w:rPr>
        <w:t>Ⅲ（快速路</w:t>
      </w:r>
      <w:r>
        <w:rPr>
          <w:sz w:val="24"/>
        </w:rPr>
        <w:t>-</w:t>
      </w:r>
      <w:r>
        <w:rPr>
          <w:rFonts w:hint="eastAsia"/>
          <w:sz w:val="24"/>
        </w:rPr>
        <w:t>三类用地适量控制路段），</w:t>
      </w:r>
      <w:r>
        <w:rPr>
          <w:sz w:val="24"/>
        </w:rPr>
        <w:t>A-</w:t>
      </w:r>
      <w:r>
        <w:rPr>
          <w:rFonts w:hint="eastAsia"/>
          <w:sz w:val="24"/>
        </w:rPr>
        <w:t>Ⅳ（快速路</w:t>
      </w:r>
      <w:r>
        <w:rPr>
          <w:sz w:val="24"/>
        </w:rPr>
        <w:t>-</w:t>
      </w:r>
      <w:r>
        <w:rPr>
          <w:rFonts w:hint="eastAsia"/>
          <w:sz w:val="24"/>
        </w:rPr>
        <w:t>四类用地适量控制路段），</w:t>
      </w:r>
      <w:r>
        <w:rPr>
          <w:sz w:val="24"/>
        </w:rPr>
        <w:t>B-</w:t>
      </w:r>
      <w:r>
        <w:rPr>
          <w:rFonts w:hint="eastAsia"/>
          <w:sz w:val="24"/>
        </w:rPr>
        <w:t>Ⅲ（主干道</w:t>
      </w:r>
      <w:r>
        <w:rPr>
          <w:sz w:val="24"/>
        </w:rPr>
        <w:t>-</w:t>
      </w:r>
      <w:r>
        <w:rPr>
          <w:rFonts w:hint="eastAsia"/>
          <w:sz w:val="24"/>
        </w:rPr>
        <w:t>三类用地适量控制路段），</w:t>
      </w:r>
      <w:r>
        <w:rPr>
          <w:sz w:val="24"/>
        </w:rPr>
        <w:t>C-</w:t>
      </w:r>
      <w:r>
        <w:rPr>
          <w:rFonts w:hint="eastAsia"/>
          <w:sz w:val="24"/>
        </w:rPr>
        <w:t>Ⅲ（次干道</w:t>
      </w:r>
      <w:r>
        <w:rPr>
          <w:sz w:val="24"/>
        </w:rPr>
        <w:t>-</w:t>
      </w:r>
      <w:r>
        <w:rPr>
          <w:rFonts w:hint="eastAsia"/>
          <w:sz w:val="24"/>
        </w:rPr>
        <w:t>三类用地适量控制路段），</w:t>
      </w:r>
      <w:r>
        <w:rPr>
          <w:sz w:val="24"/>
        </w:rPr>
        <w:t>D-</w:t>
      </w:r>
      <w:r>
        <w:rPr>
          <w:rFonts w:hint="eastAsia"/>
          <w:sz w:val="24"/>
        </w:rPr>
        <w:t>Ⅲ（支路</w:t>
      </w:r>
      <w:r>
        <w:rPr>
          <w:sz w:val="24"/>
        </w:rPr>
        <w:t>-</w:t>
      </w:r>
      <w:r>
        <w:rPr>
          <w:rFonts w:hint="eastAsia"/>
          <w:sz w:val="24"/>
        </w:rPr>
        <w:t>三类用地适量控制路段）。</w:t>
      </w:r>
    </w:p>
    <w:p w14:paraId="70328462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③引导设置路段编号范围：</w:t>
      </w:r>
      <w:r>
        <w:rPr>
          <w:sz w:val="24"/>
        </w:rPr>
        <w:t xml:space="preserve"> A-</w:t>
      </w:r>
      <w:r>
        <w:rPr>
          <w:rFonts w:hint="eastAsia"/>
          <w:sz w:val="24"/>
        </w:rPr>
        <w:t>Ⅱ（快速路</w:t>
      </w:r>
      <w:r>
        <w:rPr>
          <w:sz w:val="24"/>
        </w:rPr>
        <w:t>-</w:t>
      </w:r>
      <w:r>
        <w:rPr>
          <w:rFonts w:hint="eastAsia"/>
          <w:sz w:val="24"/>
        </w:rPr>
        <w:t>二类用地引导设置路段），</w:t>
      </w:r>
      <w:r>
        <w:rPr>
          <w:sz w:val="24"/>
        </w:rPr>
        <w:t>B-</w:t>
      </w:r>
      <w:r>
        <w:rPr>
          <w:rFonts w:hint="eastAsia"/>
          <w:sz w:val="24"/>
        </w:rPr>
        <w:t>Ⅱ（主干道</w:t>
      </w:r>
      <w:r>
        <w:rPr>
          <w:sz w:val="24"/>
        </w:rPr>
        <w:t>-</w:t>
      </w:r>
      <w:r>
        <w:rPr>
          <w:rFonts w:hint="eastAsia"/>
          <w:sz w:val="24"/>
        </w:rPr>
        <w:t>二类用地引导设置路段），</w:t>
      </w:r>
      <w:r>
        <w:rPr>
          <w:sz w:val="24"/>
        </w:rPr>
        <w:t>C-</w:t>
      </w:r>
      <w:r>
        <w:rPr>
          <w:rFonts w:hint="eastAsia"/>
          <w:sz w:val="24"/>
        </w:rPr>
        <w:t>Ⅱ（次干道</w:t>
      </w:r>
      <w:r>
        <w:rPr>
          <w:sz w:val="24"/>
        </w:rPr>
        <w:t>-</w:t>
      </w:r>
      <w:r>
        <w:rPr>
          <w:rFonts w:hint="eastAsia"/>
          <w:sz w:val="24"/>
        </w:rPr>
        <w:t>二类用地引导设置路段），</w:t>
      </w:r>
      <w:r>
        <w:rPr>
          <w:sz w:val="24"/>
        </w:rPr>
        <w:t>D-</w:t>
      </w:r>
      <w:r>
        <w:rPr>
          <w:rFonts w:hint="eastAsia"/>
          <w:sz w:val="24"/>
        </w:rPr>
        <w:t>Ⅱ（支路</w:t>
      </w:r>
      <w:r>
        <w:rPr>
          <w:sz w:val="24"/>
        </w:rPr>
        <w:t>-</w:t>
      </w:r>
      <w:r>
        <w:rPr>
          <w:rFonts w:hint="eastAsia"/>
          <w:sz w:val="24"/>
        </w:rPr>
        <w:t>二类用地引导设置路段）。</w:t>
      </w:r>
    </w:p>
    <w:p w14:paraId="19D2C829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④禁止设置路段编号范围：</w:t>
      </w:r>
      <w:r>
        <w:rPr>
          <w:sz w:val="24"/>
        </w:rPr>
        <w:t xml:space="preserve"> A-</w:t>
      </w:r>
      <w:r>
        <w:rPr>
          <w:rFonts w:hint="eastAsia"/>
          <w:sz w:val="24"/>
        </w:rPr>
        <w:t>Ⅰ（快速路</w:t>
      </w:r>
      <w:r>
        <w:rPr>
          <w:sz w:val="24"/>
        </w:rPr>
        <w:t>-</w:t>
      </w:r>
      <w:r>
        <w:rPr>
          <w:rFonts w:hint="eastAsia"/>
          <w:sz w:val="24"/>
        </w:rPr>
        <w:t>一类用地禁止设置路段），</w:t>
      </w:r>
      <w:r>
        <w:rPr>
          <w:sz w:val="24"/>
        </w:rPr>
        <w:t>B-</w:t>
      </w:r>
      <w:r>
        <w:rPr>
          <w:rFonts w:hint="eastAsia"/>
          <w:sz w:val="24"/>
        </w:rPr>
        <w:t>Ⅰ（主干道</w:t>
      </w:r>
      <w:r>
        <w:rPr>
          <w:sz w:val="24"/>
        </w:rPr>
        <w:t>-</w:t>
      </w:r>
      <w:r>
        <w:rPr>
          <w:rFonts w:hint="eastAsia"/>
          <w:sz w:val="24"/>
        </w:rPr>
        <w:t>一类用地禁止设置路段），</w:t>
      </w:r>
      <w:r>
        <w:rPr>
          <w:sz w:val="24"/>
        </w:rPr>
        <w:t>C-</w:t>
      </w:r>
      <w:r>
        <w:rPr>
          <w:rFonts w:hint="eastAsia"/>
          <w:sz w:val="24"/>
        </w:rPr>
        <w:t>Ⅰ（次干道</w:t>
      </w:r>
      <w:r>
        <w:rPr>
          <w:sz w:val="24"/>
        </w:rPr>
        <w:t>-</w:t>
      </w:r>
      <w:r>
        <w:rPr>
          <w:rFonts w:hint="eastAsia"/>
          <w:sz w:val="24"/>
        </w:rPr>
        <w:t>一类用地禁止设置路段），</w:t>
      </w:r>
      <w:r>
        <w:rPr>
          <w:sz w:val="24"/>
        </w:rPr>
        <w:t>D-</w:t>
      </w:r>
      <w:r>
        <w:rPr>
          <w:rFonts w:hint="eastAsia"/>
          <w:sz w:val="24"/>
        </w:rPr>
        <w:t>Ⅰ（支路</w:t>
      </w:r>
      <w:r>
        <w:rPr>
          <w:sz w:val="24"/>
        </w:rPr>
        <w:t>-</w:t>
      </w:r>
      <w:r>
        <w:rPr>
          <w:rFonts w:hint="eastAsia"/>
          <w:sz w:val="24"/>
        </w:rPr>
        <w:t>一类用地禁止设置路段）。</w: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3196590</wp:posOffset>
                </wp:positionH>
                <wp:positionV relativeFrom="paragraph">
                  <wp:posOffset>6592570</wp:posOffset>
                </wp:positionV>
                <wp:extent cx="1213485" cy="28956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348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EA6666D">
                            <w:pPr>
                              <w:jc w:val="right"/>
                              <w:rPr>
                                <w:color w:val="A6A6A6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51.7pt;margin-top:519.1pt;height:22.8pt;width:95.55pt;z-index:251661312;mso-width-relative:page;mso-height-relative:margin;mso-height-percent:200;" filled="f" stroked="f" coordsize="21600,21600" o:gfxdata="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n+V8LdoAAAANAQAADwAAAAAAAAABACAAAAAiAAAAZHJzL2Rvd25yZXYueG1sUEsB&#10;AhQAFAAAAAgAh07iQFgIMPS6AQAAaAMAAA4AAAAAAAAAAQAgAAAAKQEAAGRycy9lMm9Eb2MueG1s&#10;UEsFBgAAAAAGAAYAWQEAAFU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 w14:paraId="6EA6666D">
                      <w:pPr>
                        <w:jc w:val="right"/>
                        <w:rPr>
                          <w:color w:val="A6A6A6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8114665</wp:posOffset>
                </wp:positionH>
                <wp:positionV relativeFrom="paragraph">
                  <wp:posOffset>6623050</wp:posOffset>
                </wp:positionV>
                <wp:extent cx="1213485" cy="28956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348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59B39F">
                            <w:pPr>
                              <w:ind w:left="-283" w:leftChars="-135" w:right="540"/>
                              <w:jc w:val="right"/>
                              <w:rPr>
                                <w:color w:val="A6A6A6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638.95pt;margin-top:521.5pt;height:22.8pt;width:95.55pt;z-index:251660288;mso-width-relative:page;mso-height-relative:margin;mso-height-percent:200;" filled="f" stroked="f" coordsize="21600,21600" o:gfxdata="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KM+sd/ZAAAADwEAAA8AAAAAAAAAAQAgAAAAIgAAAGRycy9kb3ducmV2LnhtbFBLAQIU&#10;ABQAAAAIAIdO4kACoyX3uQEAAGgDAAAOAAAAAAAAAAEAIAAAACgBAABkcnMvZTJvRG9jLnhtbFBL&#10;BQYAAAAABgAGAFkBAABT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 w14:paraId="6959B39F">
                      <w:pPr>
                        <w:ind w:left="-283" w:leftChars="-135" w:right="540"/>
                        <w:jc w:val="right"/>
                        <w:rPr>
                          <w:color w:val="A6A6A6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7916545</wp:posOffset>
                </wp:positionH>
                <wp:positionV relativeFrom="paragraph">
                  <wp:posOffset>3013075</wp:posOffset>
                </wp:positionV>
                <wp:extent cx="1213485" cy="28956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348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B8B4FA"/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623.35pt;margin-top:237.25pt;height:22.8pt;width:95.55pt;z-index:251659264;mso-width-relative:page;mso-height-relative:margin;mso-height-percent:200;" filled="f" stroked="f" coordsize="21600,21600" o:gfxdata="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BkdWCs2QAAAA0BAAAPAAAAAAAAAAEAIAAAACIAAABkcnMvZG93bnJldi54bWxQSwEC&#10;FAAUAAAACACHTuJA3lhY/boBAABoAwAADgAAAAAAAAABACAAAAAoAQAAZHJzL2Uyb0RvYy54bWxQ&#10;SwUGAAAAAAYABgBZAQAAV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 w14:paraId="2FB8B4FA"/>
                  </w:txbxContent>
                </v:textbox>
              </v:shape>
            </w:pict>
          </mc:Fallback>
        </mc:AlternateContent>
      </w:r>
    </w:p>
    <w:p w14:paraId="7946A2EF">
      <w:pPr>
        <w:pStyle w:val="3"/>
        <w:shd w:val="clear" w:color="auto" w:fill="FFFFFF"/>
        <w:spacing w:before="90" w:beforeAutospacing="0" w:after="90" w:afterAutospacing="0" w:line="360" w:lineRule="atLeast"/>
        <w:ind w:firstLine="420"/>
      </w:pPr>
      <w:r>
        <w:rPr>
          <w:rFonts w:hint="eastAsia"/>
        </w:rPr>
        <w:t>（二）采购标的需执行的国家相关标准、行业标准、地方标准或者其他标准、规范：</w:t>
      </w:r>
    </w:p>
    <w:p w14:paraId="17279EEE">
      <w:pPr>
        <w:widowControl/>
        <w:topLinePunct/>
        <w:spacing w:line="400" w:lineRule="exact"/>
        <w:ind w:firstLine="420"/>
        <w:rPr>
          <w:rFonts w:ascii="宋体" w:hAnsi="宋体" w:cs="Arial"/>
          <w:kern w:val="0"/>
          <w:sz w:val="24"/>
        </w:rPr>
      </w:pPr>
      <w:r>
        <w:rPr>
          <w:rFonts w:hint="eastAsia" w:ascii="宋体" w:hAnsi="宋体" w:cs="Arial"/>
          <w:kern w:val="0"/>
          <w:sz w:val="24"/>
        </w:rPr>
        <w:t>符合《中华人民共和国广告法》、《中华人民共和国城乡规划法》等要求，符合《城镇户外广告和店招标牌设施设置技术规范》规定的标准。</w:t>
      </w:r>
      <w:r>
        <w:rPr>
          <w:rFonts w:ascii="宋体" w:hAnsi="宋体"/>
          <w:sz w:val="24"/>
        </w:rPr>
        <w:t xml:space="preserve"> </w:t>
      </w:r>
    </w:p>
    <w:p w14:paraId="2A07C1B6">
      <w:pPr>
        <w:pStyle w:val="3"/>
        <w:shd w:val="clear" w:color="auto" w:fill="FFFFFF"/>
        <w:spacing w:before="90" w:beforeAutospacing="0" w:after="90" w:afterAutospacing="0" w:line="360" w:lineRule="atLeast"/>
        <w:ind w:firstLine="480"/>
      </w:pPr>
      <w:r>
        <w:rPr>
          <w:rFonts w:hint="eastAsia"/>
        </w:rPr>
        <w:t>（三）采购标的需满足的质量、安全、技术规格、物理特性等要求：</w:t>
      </w:r>
    </w:p>
    <w:p w14:paraId="6BDD58B0">
      <w:pPr>
        <w:widowControl/>
        <w:topLinePunct/>
        <w:spacing w:line="400" w:lineRule="exact"/>
        <w:ind w:firstLine="420"/>
        <w:rPr>
          <w:rFonts w:ascii="宋体" w:hAnsi="宋体"/>
          <w:sz w:val="24"/>
        </w:rPr>
      </w:pPr>
      <w:r>
        <w:rPr>
          <w:rFonts w:hint="eastAsia" w:ascii="宋体" w:hAnsi="宋体" w:cs="Arial"/>
          <w:kern w:val="0"/>
          <w:sz w:val="24"/>
        </w:rPr>
        <w:t>成果质量要求：符合国土空间专项规划相关标准要求。</w:t>
      </w:r>
      <w:r>
        <w:rPr>
          <w:rFonts w:ascii="宋体" w:hAnsi="宋体"/>
          <w:sz w:val="24"/>
        </w:rPr>
        <w:t xml:space="preserve"> </w:t>
      </w:r>
    </w:p>
    <w:p w14:paraId="4041E7A9">
      <w:pPr>
        <w:widowControl/>
        <w:topLinePunct/>
        <w:spacing w:line="400" w:lineRule="exact"/>
        <w:ind w:firstLine="42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安全要求：符合国家有关安全技术要求，落实安全生产责任制，杜绝安全隐患。</w:t>
      </w:r>
    </w:p>
    <w:p w14:paraId="7FB507FE">
      <w:pPr>
        <w:widowControl/>
        <w:topLinePunct/>
        <w:spacing w:line="400" w:lineRule="exact"/>
        <w:ind w:firstLine="42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技术规格与物理特性：符合国家有关标准及相关专业现行规定。</w:t>
      </w:r>
    </w:p>
    <w:p w14:paraId="3C79A08E">
      <w:pPr>
        <w:pStyle w:val="3"/>
        <w:shd w:val="clear" w:color="auto" w:fill="FFFFFF"/>
        <w:spacing w:before="90" w:beforeAutospacing="0" w:after="90" w:afterAutospacing="0" w:line="360" w:lineRule="atLeast"/>
        <w:ind w:firstLine="480"/>
        <w:rPr>
          <w:rFonts w:ascii="Times New Roman" w:cs="Times New Roman"/>
        </w:rPr>
      </w:pPr>
      <w:r>
        <w:rPr>
          <w:rFonts w:ascii="Times New Roman" w:cs="Times New Roman"/>
        </w:rPr>
        <w:t>（四）采购项目的成果交付：</w:t>
      </w:r>
    </w:p>
    <w:p w14:paraId="06DBEB3D">
      <w:pPr>
        <w:widowControl/>
        <w:spacing w:line="460" w:lineRule="exact"/>
        <w:ind w:firstLine="470" w:firstLineChars="196"/>
        <w:jc w:val="left"/>
        <w:rPr>
          <w:rFonts w:ascii="宋体" w:hAnsi="宋体" w:cs="Arial"/>
          <w:kern w:val="0"/>
          <w:sz w:val="24"/>
        </w:rPr>
      </w:pPr>
      <w:r>
        <w:rPr>
          <w:rFonts w:hint="eastAsia" w:ascii="宋体" w:hAnsi="宋体" w:cs="Arial"/>
          <w:kern w:val="0"/>
          <w:sz w:val="24"/>
        </w:rPr>
        <w:t>1、成果组成</w:t>
      </w:r>
    </w:p>
    <w:p w14:paraId="638DBF6E">
      <w:pPr>
        <w:widowControl/>
        <w:spacing w:line="460" w:lineRule="exact"/>
        <w:ind w:firstLine="470" w:firstLineChars="196"/>
        <w:jc w:val="left"/>
        <w:rPr>
          <w:rFonts w:ascii="宋体" w:hAnsi="宋体" w:cs="Arial"/>
          <w:kern w:val="0"/>
          <w:sz w:val="24"/>
        </w:rPr>
      </w:pPr>
      <w:r>
        <w:rPr>
          <w:rFonts w:hint="eastAsia" w:ascii="宋体" w:hAnsi="宋体" w:cs="Arial"/>
          <w:kern w:val="0"/>
          <w:sz w:val="24"/>
        </w:rPr>
        <w:t>成果包括：文本和图纸。</w:t>
      </w:r>
    </w:p>
    <w:p w14:paraId="09535C59">
      <w:pPr>
        <w:widowControl/>
        <w:spacing w:line="460" w:lineRule="exact"/>
        <w:ind w:firstLine="470" w:firstLineChars="196"/>
        <w:jc w:val="left"/>
        <w:rPr>
          <w:rFonts w:ascii="宋体" w:hAnsi="宋体" w:cs="Arial"/>
          <w:kern w:val="0"/>
          <w:sz w:val="24"/>
        </w:rPr>
      </w:pPr>
      <w:r>
        <w:rPr>
          <w:rFonts w:hint="eastAsia" w:ascii="宋体" w:hAnsi="宋体" w:cs="Arial"/>
          <w:kern w:val="0"/>
          <w:sz w:val="24"/>
        </w:rPr>
        <w:t>2、成果形式</w:t>
      </w:r>
    </w:p>
    <w:p w14:paraId="0BA05107">
      <w:pPr>
        <w:widowControl/>
        <w:spacing w:line="460" w:lineRule="exact"/>
        <w:ind w:firstLine="470" w:firstLineChars="196"/>
        <w:jc w:val="left"/>
        <w:rPr>
          <w:rFonts w:ascii="宋体" w:hAnsi="宋体" w:cs="Arial"/>
          <w:kern w:val="0"/>
          <w:sz w:val="24"/>
        </w:rPr>
      </w:pPr>
      <w:r>
        <w:rPr>
          <w:rFonts w:hint="eastAsia" w:ascii="宋体" w:hAnsi="宋体" w:cs="Arial"/>
          <w:kern w:val="0"/>
          <w:sz w:val="24"/>
        </w:rPr>
        <w:t>综合报告：A4或A3册子</w:t>
      </w:r>
    </w:p>
    <w:p w14:paraId="7E082D93">
      <w:pPr>
        <w:widowControl/>
        <w:spacing w:line="460" w:lineRule="exact"/>
        <w:ind w:firstLine="470" w:firstLineChars="196"/>
        <w:jc w:val="left"/>
        <w:rPr>
          <w:rFonts w:ascii="宋体" w:hAnsi="宋体" w:cs="Arial"/>
          <w:kern w:val="0"/>
          <w:sz w:val="24"/>
        </w:rPr>
      </w:pPr>
      <w:r>
        <w:rPr>
          <w:rFonts w:hint="eastAsia" w:ascii="宋体" w:hAnsi="宋体" w:cs="Arial"/>
          <w:kern w:val="0"/>
          <w:sz w:val="24"/>
        </w:rPr>
        <w:t>电子文件（光盘）2份</w:t>
      </w:r>
    </w:p>
    <w:p w14:paraId="1882055F">
      <w:pPr>
        <w:widowControl/>
        <w:spacing w:line="460" w:lineRule="exact"/>
        <w:ind w:firstLine="470" w:firstLineChars="196"/>
        <w:jc w:val="left"/>
        <w:rPr>
          <w:rFonts w:ascii="宋体" w:hAnsi="宋体" w:cs="Arial"/>
          <w:kern w:val="0"/>
          <w:sz w:val="24"/>
        </w:rPr>
      </w:pPr>
      <w:r>
        <w:rPr>
          <w:rFonts w:hint="eastAsia" w:ascii="宋体" w:hAnsi="宋体" w:cs="Arial"/>
          <w:kern w:val="0"/>
          <w:sz w:val="24"/>
        </w:rPr>
        <w:t>规划演示幻灯2份</w:t>
      </w:r>
    </w:p>
    <w:p w14:paraId="38C959CA">
      <w:pPr>
        <w:widowControl/>
        <w:topLinePunct/>
        <w:spacing w:line="460" w:lineRule="exact"/>
        <w:ind w:firstLine="480"/>
        <w:rPr>
          <w:b/>
          <w:bCs/>
          <w:kern w:val="0"/>
          <w:sz w:val="24"/>
        </w:rPr>
      </w:pPr>
      <w:r>
        <w:rPr>
          <w:rFonts w:hAnsi="宋体"/>
          <w:b/>
          <w:bCs/>
          <w:kern w:val="0"/>
          <w:sz w:val="24"/>
        </w:rPr>
        <w:t>五、投标供应商资格要求：</w:t>
      </w:r>
    </w:p>
    <w:p w14:paraId="5F4CC12C">
      <w:pPr>
        <w:widowControl/>
        <w:spacing w:line="460" w:lineRule="exact"/>
        <w:ind w:firstLine="480" w:firstLineChars="200"/>
        <w:rPr>
          <w:kern w:val="0"/>
          <w:sz w:val="24"/>
        </w:rPr>
      </w:pPr>
      <w:r>
        <w:rPr>
          <w:rFonts w:hAnsi="宋体"/>
          <w:kern w:val="0"/>
          <w:sz w:val="24"/>
        </w:rPr>
        <w:t>投标供应商参加本次政府采购活动除应当符合《中华人民共和国政府采购法》第二十二条的规定外，还必须具备以下条件：</w:t>
      </w:r>
    </w:p>
    <w:p w14:paraId="18AD8DA7">
      <w:pPr>
        <w:tabs>
          <w:tab w:val="left" w:pos="0"/>
        </w:tabs>
        <w:autoSpaceDE w:val="0"/>
        <w:autoSpaceDN w:val="0"/>
        <w:adjustRightInd w:val="0"/>
        <w:spacing w:line="460" w:lineRule="exact"/>
        <w:ind w:firstLine="424" w:firstLineChars="177"/>
        <w:rPr>
          <w:sz w:val="24"/>
          <w:lang w:val="zh-CN"/>
        </w:rPr>
      </w:pPr>
      <w:r>
        <w:rPr>
          <w:rFonts w:hint="eastAsia"/>
          <w:sz w:val="24"/>
          <w:lang w:val="zh-CN"/>
        </w:rPr>
        <w:t>1.</w:t>
      </w:r>
      <w:r>
        <w:rPr>
          <w:sz w:val="24"/>
          <w:lang w:val="zh-CN"/>
        </w:rPr>
        <w:t>投标供应商应为中国大陆境内合法注册的独立法人单位；</w:t>
      </w:r>
    </w:p>
    <w:p w14:paraId="2D84A4E5">
      <w:pPr>
        <w:tabs>
          <w:tab w:val="left" w:pos="0"/>
        </w:tabs>
        <w:autoSpaceDE w:val="0"/>
        <w:autoSpaceDN w:val="0"/>
        <w:adjustRightInd w:val="0"/>
        <w:spacing w:line="460" w:lineRule="exact"/>
        <w:ind w:firstLine="424" w:firstLineChars="177"/>
        <w:rPr>
          <w:sz w:val="24"/>
          <w:lang w:val="zh-CN"/>
        </w:rPr>
      </w:pPr>
      <w:r>
        <w:rPr>
          <w:rFonts w:hint="eastAsia"/>
          <w:sz w:val="24"/>
          <w:lang w:val="zh-CN"/>
        </w:rPr>
        <w:t>2.具备城乡规划编制乙级（含）以上资质；</w:t>
      </w:r>
    </w:p>
    <w:p w14:paraId="20776C8A">
      <w:pPr>
        <w:tabs>
          <w:tab w:val="left" w:pos="0"/>
        </w:tabs>
        <w:autoSpaceDE w:val="0"/>
        <w:autoSpaceDN w:val="0"/>
        <w:adjustRightInd w:val="0"/>
        <w:spacing w:line="460" w:lineRule="exact"/>
        <w:ind w:firstLine="424" w:firstLineChars="177"/>
        <w:rPr>
          <w:sz w:val="24"/>
          <w:lang w:val="zh-CN"/>
        </w:rPr>
      </w:pPr>
      <w:r>
        <w:rPr>
          <w:rFonts w:hint="eastAsia"/>
          <w:sz w:val="24"/>
          <w:lang w:val="zh-CN"/>
        </w:rPr>
        <w:t>3</w:t>
      </w:r>
      <w:r>
        <w:rPr>
          <w:sz w:val="24"/>
          <w:lang w:val="zh-CN"/>
        </w:rPr>
        <w:t>.</w:t>
      </w:r>
      <w:r>
        <w:rPr>
          <w:rFonts w:hint="eastAsia"/>
          <w:sz w:val="24"/>
          <w:lang w:val="zh-CN"/>
        </w:rPr>
        <w:t>投标供应商的</w:t>
      </w:r>
      <w:r>
        <w:rPr>
          <w:sz w:val="24"/>
          <w:lang w:val="zh-CN"/>
        </w:rPr>
        <w:t>财务状况报告</w:t>
      </w:r>
      <w:r>
        <w:rPr>
          <w:rFonts w:hint="eastAsia"/>
          <w:sz w:val="24"/>
          <w:lang w:val="zh-CN"/>
        </w:rPr>
        <w:t>（成立不满一年不需提供）</w:t>
      </w:r>
      <w:r>
        <w:rPr>
          <w:sz w:val="24"/>
          <w:lang w:val="zh-CN"/>
        </w:rPr>
        <w:t>；</w:t>
      </w:r>
    </w:p>
    <w:p w14:paraId="6D2DA896">
      <w:pPr>
        <w:tabs>
          <w:tab w:val="left" w:pos="0"/>
        </w:tabs>
        <w:autoSpaceDE w:val="0"/>
        <w:autoSpaceDN w:val="0"/>
        <w:adjustRightInd w:val="0"/>
        <w:spacing w:line="460" w:lineRule="exact"/>
        <w:ind w:firstLine="424" w:firstLineChars="177"/>
        <w:rPr>
          <w:sz w:val="24"/>
          <w:lang w:val="zh-CN"/>
        </w:rPr>
      </w:pPr>
      <w:r>
        <w:rPr>
          <w:rFonts w:hint="eastAsia"/>
          <w:sz w:val="24"/>
        </w:rPr>
        <w:t>4.</w:t>
      </w:r>
      <w:r>
        <w:rPr>
          <w:sz w:val="24"/>
          <w:lang w:val="zh-CN"/>
        </w:rPr>
        <w:t>依法缴纳税收和社会保障资金的相关材料；</w:t>
      </w:r>
      <w:r>
        <w:rPr>
          <w:rFonts w:hint="eastAsia"/>
          <w:sz w:val="24"/>
          <w:lang w:val="zh-CN"/>
        </w:rPr>
        <w:t xml:space="preserve"> </w:t>
      </w:r>
    </w:p>
    <w:p w14:paraId="161D76CD">
      <w:pPr>
        <w:tabs>
          <w:tab w:val="left" w:pos="0"/>
        </w:tabs>
        <w:autoSpaceDE w:val="0"/>
        <w:autoSpaceDN w:val="0"/>
        <w:adjustRightInd w:val="0"/>
        <w:spacing w:line="460" w:lineRule="exact"/>
        <w:ind w:firstLine="424" w:firstLineChars="177"/>
        <w:rPr>
          <w:sz w:val="24"/>
          <w:lang w:val="zh-CN"/>
        </w:rPr>
      </w:pPr>
      <w:r>
        <w:rPr>
          <w:rFonts w:hint="eastAsia"/>
          <w:sz w:val="24"/>
        </w:rPr>
        <w:t>5.</w:t>
      </w:r>
      <w:r>
        <w:rPr>
          <w:sz w:val="24"/>
          <w:lang w:val="zh-CN"/>
        </w:rPr>
        <w:t xml:space="preserve">具备履行合同所必需的设备和专业技术能力的证明材料； </w:t>
      </w:r>
    </w:p>
    <w:p w14:paraId="3968CCAE">
      <w:pPr>
        <w:tabs>
          <w:tab w:val="left" w:pos="0"/>
        </w:tabs>
        <w:autoSpaceDE w:val="0"/>
        <w:autoSpaceDN w:val="0"/>
        <w:adjustRightInd w:val="0"/>
        <w:spacing w:line="460" w:lineRule="exact"/>
        <w:ind w:firstLine="424" w:firstLineChars="177"/>
        <w:rPr>
          <w:sz w:val="24"/>
          <w:lang w:val="zh-CN"/>
        </w:rPr>
      </w:pPr>
      <w:r>
        <w:rPr>
          <w:rFonts w:hint="eastAsia"/>
          <w:sz w:val="24"/>
          <w:lang w:val="zh-CN"/>
        </w:rPr>
        <w:t>6.投标供应商承担类似项目相关材料；</w:t>
      </w:r>
    </w:p>
    <w:p w14:paraId="6AC61574">
      <w:pPr>
        <w:tabs>
          <w:tab w:val="left" w:pos="0"/>
        </w:tabs>
        <w:autoSpaceDE w:val="0"/>
        <w:autoSpaceDN w:val="0"/>
        <w:adjustRightInd w:val="0"/>
        <w:spacing w:line="460" w:lineRule="exact"/>
        <w:ind w:firstLine="424" w:firstLineChars="177"/>
        <w:rPr>
          <w:sz w:val="24"/>
        </w:rPr>
      </w:pPr>
      <w:r>
        <w:rPr>
          <w:rFonts w:hint="eastAsia"/>
          <w:sz w:val="24"/>
        </w:rPr>
        <w:t>7.</w:t>
      </w:r>
      <w:r>
        <w:rPr>
          <w:sz w:val="24"/>
        </w:rPr>
        <w:t>参加政府采购活动前3年内在经营活动中没有重大违法记录的书面声明</w:t>
      </w:r>
      <w:r>
        <w:rPr>
          <w:rFonts w:hint="eastAsia"/>
          <w:sz w:val="24"/>
        </w:rPr>
        <w:t>。</w:t>
      </w:r>
    </w:p>
    <w:p w14:paraId="52C2FEEE">
      <w:pPr>
        <w:widowControl/>
        <w:topLinePunct/>
        <w:spacing w:line="460" w:lineRule="exact"/>
        <w:ind w:firstLine="480"/>
        <w:rPr>
          <w:rFonts w:hAnsi="宋体"/>
          <w:b/>
          <w:bCs/>
          <w:kern w:val="0"/>
          <w:sz w:val="24"/>
        </w:rPr>
      </w:pPr>
      <w:r>
        <w:rPr>
          <w:rFonts w:hint="eastAsia" w:hAnsi="宋体"/>
          <w:b/>
          <w:bCs/>
          <w:kern w:val="0"/>
          <w:sz w:val="24"/>
        </w:rPr>
        <w:t>六、响应文件要求及接收信息</w:t>
      </w:r>
    </w:p>
    <w:p w14:paraId="5A6B5CD0">
      <w:pPr>
        <w:tabs>
          <w:tab w:val="left" w:pos="0"/>
        </w:tabs>
        <w:autoSpaceDE w:val="0"/>
        <w:autoSpaceDN w:val="0"/>
        <w:adjustRightInd w:val="0"/>
        <w:spacing w:line="460" w:lineRule="exact"/>
        <w:ind w:firstLine="424" w:firstLineChars="177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lang w:val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:sz w:val="24"/>
          <w:lang w:val="zh-CN"/>
          <w14:textFill>
            <w14:solidFill>
              <w14:schemeClr w14:val="tx1"/>
            </w14:solidFill>
          </w14:textFill>
        </w:rPr>
        <w:t>投标单位必须至现场确认工作量后，将响应文件加盖公章密封在一个档案袋内，并于三个工作日内(至202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5</w:t>
      </w:r>
      <w:r>
        <w:rPr>
          <w:rFonts w:hint="eastAsia"/>
          <w:color w:val="000000" w:themeColor="text1"/>
          <w:sz w:val="24"/>
          <w:lang w:val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5</w:t>
      </w:r>
      <w:r>
        <w:rPr>
          <w:rFonts w:hint="eastAsia"/>
          <w:color w:val="000000" w:themeColor="text1"/>
          <w:sz w:val="24"/>
          <w:lang w:val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/>
          <w:color w:val="000000" w:themeColor="text1"/>
          <w:sz w:val="24"/>
          <w:lang w:val="zh-CN"/>
          <w14:textFill>
            <w14:solidFill>
              <w14:schemeClr w14:val="tx1"/>
            </w14:solidFill>
          </w14:textFill>
        </w:rPr>
        <w:t>日16:00时前)提交至投标文件接收地点，未提前至现场核实工程量的或未按要求密封的响应文件无效。提交的投标文件需经采购单位资格审查后再进入评标程序。</w:t>
      </w:r>
      <w:bookmarkStart w:id="0" w:name="_GoBack"/>
      <w:bookmarkEnd w:id="0"/>
    </w:p>
    <w:p w14:paraId="7811B01F">
      <w:pPr>
        <w:tabs>
          <w:tab w:val="left" w:pos="0"/>
        </w:tabs>
        <w:autoSpaceDE w:val="0"/>
        <w:autoSpaceDN w:val="0"/>
        <w:adjustRightInd w:val="0"/>
        <w:spacing w:line="460" w:lineRule="exact"/>
        <w:ind w:firstLine="424" w:firstLineChars="177"/>
        <w:rPr>
          <w:color w:val="000000" w:themeColor="text1"/>
          <w:sz w:val="24"/>
          <w:lang w:val="zh-CN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lang w:val="zh-CN"/>
          <w14:textFill>
            <w14:solidFill>
              <w14:schemeClr w14:val="tx1"/>
            </w14:solidFill>
          </w14:textFill>
        </w:rPr>
        <w:t>2.投标文件接收地点：</w:t>
      </w:r>
      <w:r>
        <w:rPr>
          <w:rFonts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无锡市惠山区政和大道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209-2</w:t>
      </w:r>
      <w:r>
        <w:rPr>
          <w:rFonts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号</w:t>
      </w:r>
      <w:r>
        <w:rPr>
          <w:color w:val="000000" w:themeColor="text1"/>
          <w:sz w:val="24"/>
          <w:lang w:val="zh-CN"/>
          <w14:textFill>
            <w14:solidFill>
              <w14:schemeClr w14:val="tx1"/>
            </w14:solidFill>
          </w14:textFill>
        </w:rPr>
        <w:t>，惠山区城市管理局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XXX</w:t>
      </w:r>
      <w:r>
        <w:rPr>
          <w:color w:val="000000" w:themeColor="text1"/>
          <w:sz w:val="24"/>
          <w:lang w:val="zh-CN"/>
          <w14:textFill>
            <w14:solidFill>
              <w14:schemeClr w14:val="tx1"/>
            </w14:solidFill>
          </w14:textFill>
        </w:rPr>
        <w:t>办公室。</w:t>
      </w:r>
    </w:p>
    <w:p w14:paraId="7326718A">
      <w:pPr>
        <w:tabs>
          <w:tab w:val="left" w:pos="0"/>
        </w:tabs>
        <w:autoSpaceDE w:val="0"/>
        <w:autoSpaceDN w:val="0"/>
        <w:adjustRightInd w:val="0"/>
        <w:spacing w:line="460" w:lineRule="exact"/>
        <w:ind w:firstLine="424" w:firstLineChars="177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lang w:val="zh-CN"/>
          <w14:textFill>
            <w14:solidFill>
              <w14:schemeClr w14:val="tx1"/>
            </w14:solidFill>
          </w14:textFill>
        </w:rPr>
        <w:t>3</w:t>
      </w:r>
      <w:r>
        <w:rPr>
          <w:color w:val="000000" w:themeColor="text1"/>
          <w:sz w:val="24"/>
          <w:lang w:val="zh-CN"/>
          <w14:textFill>
            <w14:solidFill>
              <w14:schemeClr w14:val="tx1"/>
            </w14:solidFill>
          </w14:textFill>
        </w:rPr>
        <w:t>.投标文件接收人：</w:t>
      </w:r>
      <w:r>
        <w:rPr>
          <w:rFonts w:hint="eastAsia"/>
          <w:color w:val="000000" w:themeColor="text1"/>
          <w:sz w:val="24"/>
          <w:lang w:val="zh-CN"/>
          <w14:textFill>
            <w14:solidFill>
              <w14:schemeClr w14:val="tx1"/>
            </w14:solidFill>
          </w14:textFill>
        </w:rPr>
        <w:t>李烽</w:t>
      </w:r>
      <w:r>
        <w:rPr>
          <w:color w:val="000000" w:themeColor="text1"/>
          <w:sz w:val="24"/>
          <w:lang w:val="zh-CN"/>
          <w14:textFill>
            <w14:solidFill>
              <w14:schemeClr w14:val="tx1"/>
            </w14:solidFill>
          </w14:textFill>
        </w:rPr>
        <w:t>，联系方式：</w:t>
      </w:r>
      <w:r>
        <w:rPr>
          <w:rFonts w:hint="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83591952。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</w:p>
    <w:p w14:paraId="29FF6BEF">
      <w:pPr>
        <w:widowControl/>
        <w:spacing w:line="460" w:lineRule="exact"/>
        <w:ind w:right="-334" w:rightChars="-159" w:firstLine="480"/>
        <w:jc w:val="left"/>
        <w:rPr>
          <w:b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Ansi="宋体"/>
          <w:b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七、本公告期限：三个工作日。</w:t>
      </w:r>
    </w:p>
    <w:p w14:paraId="55439ED3">
      <w:pPr>
        <w:widowControl/>
        <w:topLinePunct/>
        <w:spacing w:line="460" w:lineRule="exact"/>
        <w:ind w:firstLine="480"/>
        <w:rPr>
          <w:rFonts w:hAnsi="宋体"/>
          <w:b/>
          <w:bCs/>
          <w:kern w:val="0"/>
          <w:sz w:val="24"/>
        </w:rPr>
      </w:pPr>
    </w:p>
    <w:p w14:paraId="6A9AE7ED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14:paraId="4C81A2A5"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附件</w:t>
      </w:r>
      <w:r>
        <w:rPr>
          <w:rFonts w:ascii="宋体" w:hAnsi="宋体" w:cs="宋体"/>
        </w:rPr>
        <w:t>1</w:t>
      </w:r>
    </w:p>
    <w:p w14:paraId="4768EB4D">
      <w:pPr>
        <w:spacing w:line="360" w:lineRule="auto"/>
        <w:jc w:val="center"/>
        <w:rPr>
          <w:rFonts w:ascii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响应函</w:t>
      </w:r>
    </w:p>
    <w:p w14:paraId="18800C07">
      <w:pPr>
        <w:spacing w:line="360" w:lineRule="auto"/>
        <w:rPr>
          <w:rFonts w:ascii="宋体"/>
          <w:sz w:val="24"/>
        </w:rPr>
      </w:pPr>
      <w:r>
        <w:rPr>
          <w:rFonts w:hint="eastAsia" w:ascii="宋体" w:hAnsi="宋体" w:cs="宋体"/>
          <w:sz w:val="24"/>
        </w:rPr>
        <w:t>致【无锡市惠山区城市管理局】：</w:t>
      </w:r>
    </w:p>
    <w:p w14:paraId="3CEBFF40">
      <w:pPr>
        <w:spacing w:line="360" w:lineRule="auto"/>
        <w:ind w:firstLine="480" w:firstLineChars="200"/>
        <w:rPr>
          <w:rFonts w:ascii="宋体"/>
          <w:sz w:val="24"/>
        </w:rPr>
      </w:pPr>
      <w:r>
        <w:rPr>
          <w:rFonts w:hint="eastAsia" w:ascii="宋体" w:hAnsi="宋体" w:cs="宋体"/>
          <w:sz w:val="24"/>
        </w:rPr>
        <w:t>我方收到贵方</w:t>
      </w:r>
      <w:r>
        <w:rPr>
          <w:rFonts w:hint="eastAsia"/>
          <w:bCs/>
          <w:kern w:val="0"/>
          <w:sz w:val="24"/>
        </w:rPr>
        <w:t>无锡市惠山区户外广告阵地设置规划修编</w:t>
      </w:r>
      <w:r>
        <w:rPr>
          <w:rFonts w:hint="eastAsia" w:ascii="宋体" w:hAnsi="宋体" w:cs="宋体"/>
          <w:sz w:val="24"/>
        </w:rPr>
        <w:t>项目采购文件，经仔细阅读和研究，我方决定参加此项目的投标。</w:t>
      </w:r>
    </w:p>
    <w:p w14:paraId="31886ED3">
      <w:pPr>
        <w:numPr>
          <w:ilvl w:val="0"/>
          <w:numId w:val="1"/>
        </w:numPr>
        <w:tabs>
          <w:tab w:val="left" w:pos="0"/>
          <w:tab w:val="left" w:pos="315"/>
          <w:tab w:val="left" w:pos="525"/>
          <w:tab w:val="left" w:pos="840"/>
          <w:tab w:val="left" w:pos="945"/>
          <w:tab w:val="left" w:pos="1050"/>
          <w:tab w:val="clear" w:pos="552"/>
        </w:tabs>
        <w:spacing w:line="360" w:lineRule="auto"/>
        <w:ind w:left="0" w:firstLine="523" w:firstLineChars="218"/>
        <w:rPr>
          <w:rStyle w:val="6"/>
          <w:rFonts w:cs="Times New Roman"/>
        </w:rPr>
      </w:pPr>
      <w:r>
        <w:rPr>
          <w:rFonts w:hint="eastAsia" w:ascii="宋体" w:hAnsi="宋体" w:cs="宋体"/>
          <w:sz w:val="24"/>
        </w:rPr>
        <w:t>我方提供采购文件中要求的投标文件、证明、陈述均是真实、准确。</w:t>
      </w:r>
    </w:p>
    <w:p w14:paraId="4425C23E">
      <w:pPr>
        <w:numPr>
          <w:ilvl w:val="0"/>
          <w:numId w:val="1"/>
        </w:numPr>
        <w:tabs>
          <w:tab w:val="left" w:pos="0"/>
          <w:tab w:val="left" w:pos="315"/>
          <w:tab w:val="left" w:pos="525"/>
          <w:tab w:val="left" w:pos="945"/>
          <w:tab w:val="left" w:pos="1050"/>
          <w:tab w:val="clear" w:pos="552"/>
        </w:tabs>
        <w:spacing w:line="360" w:lineRule="auto"/>
        <w:ind w:left="0" w:firstLine="523" w:firstLineChars="218"/>
        <w:rPr>
          <w:rFonts w:ascii="宋体"/>
          <w:sz w:val="24"/>
        </w:rPr>
      </w:pPr>
      <w:r>
        <w:rPr>
          <w:rFonts w:hint="eastAsia" w:ascii="宋体" w:hAnsi="宋体" w:cs="宋体"/>
          <w:sz w:val="24"/>
        </w:rPr>
        <w:t>如果我方的响应文件被接受，我方将履行采购文件中规定的每一项要求，按期、按质、按量，完成规划编制工作。</w:t>
      </w:r>
    </w:p>
    <w:p w14:paraId="5E4D4DF6">
      <w:pPr>
        <w:numPr>
          <w:ilvl w:val="0"/>
          <w:numId w:val="1"/>
        </w:numPr>
        <w:tabs>
          <w:tab w:val="left" w:pos="0"/>
          <w:tab w:val="left" w:pos="315"/>
          <w:tab w:val="left" w:pos="525"/>
          <w:tab w:val="left" w:pos="945"/>
          <w:tab w:val="left" w:pos="1050"/>
          <w:tab w:val="clear" w:pos="552"/>
        </w:tabs>
        <w:spacing w:line="360" w:lineRule="auto"/>
        <w:ind w:left="0" w:firstLine="523" w:firstLineChars="218"/>
        <w:rPr>
          <w:rFonts w:ascii="宋体"/>
          <w:sz w:val="24"/>
        </w:rPr>
      </w:pPr>
      <w:r>
        <w:rPr>
          <w:rFonts w:hint="eastAsia" w:ascii="宋体" w:hAnsi="宋体" w:cs="宋体"/>
          <w:sz w:val="24"/>
        </w:rPr>
        <w:t>我方认为贵单位有权决定成交者。</w:t>
      </w:r>
    </w:p>
    <w:p w14:paraId="215199DB">
      <w:pPr>
        <w:numPr>
          <w:ilvl w:val="0"/>
          <w:numId w:val="1"/>
        </w:numPr>
        <w:tabs>
          <w:tab w:val="left" w:pos="0"/>
          <w:tab w:val="left" w:pos="315"/>
          <w:tab w:val="left" w:pos="525"/>
          <w:tab w:val="left" w:pos="945"/>
          <w:tab w:val="left" w:pos="1050"/>
          <w:tab w:val="clear" w:pos="552"/>
        </w:tabs>
        <w:spacing w:line="360" w:lineRule="auto"/>
        <w:ind w:left="0" w:firstLine="523" w:firstLineChars="218"/>
        <w:rPr>
          <w:rFonts w:ascii="宋体"/>
          <w:sz w:val="24"/>
        </w:rPr>
      </w:pPr>
      <w:r>
        <w:rPr>
          <w:rFonts w:hint="eastAsia" w:ascii="宋体" w:hAnsi="宋体" w:cs="宋体"/>
          <w:sz w:val="24"/>
        </w:rPr>
        <w:t>我方愿意遵守《中华人民共和国政府采购法》，并按《中华人民共和国民法典》和合同条款履行自己的全部责任。</w:t>
      </w:r>
    </w:p>
    <w:p w14:paraId="4D17B718">
      <w:pPr>
        <w:numPr>
          <w:ilvl w:val="0"/>
          <w:numId w:val="1"/>
        </w:numPr>
        <w:tabs>
          <w:tab w:val="left" w:pos="0"/>
          <w:tab w:val="left" w:pos="315"/>
          <w:tab w:val="left" w:pos="525"/>
          <w:tab w:val="left" w:pos="945"/>
          <w:tab w:val="left" w:pos="1050"/>
          <w:tab w:val="clear" w:pos="552"/>
        </w:tabs>
        <w:spacing w:line="360" w:lineRule="auto"/>
        <w:ind w:left="0" w:firstLine="523" w:firstLineChars="218"/>
        <w:rPr>
          <w:rFonts w:ascii="宋体"/>
          <w:sz w:val="24"/>
        </w:rPr>
      </w:pPr>
      <w:r>
        <w:rPr>
          <w:rFonts w:hint="eastAsia" w:ascii="宋体" w:hAnsi="宋体" w:cs="宋体"/>
          <w:sz w:val="24"/>
        </w:rPr>
        <w:t>我方认可并保证遵守采购文件的所有规定，放弃对采购文件提出质疑的权利。</w:t>
      </w:r>
    </w:p>
    <w:p w14:paraId="2DF0F47C">
      <w:pPr>
        <w:numPr>
          <w:ilvl w:val="0"/>
          <w:numId w:val="1"/>
        </w:numPr>
        <w:tabs>
          <w:tab w:val="left" w:pos="0"/>
          <w:tab w:val="left" w:pos="315"/>
          <w:tab w:val="left" w:pos="525"/>
          <w:tab w:val="left" w:pos="945"/>
          <w:tab w:val="left" w:pos="1050"/>
          <w:tab w:val="clear" w:pos="552"/>
        </w:tabs>
        <w:spacing w:line="360" w:lineRule="auto"/>
        <w:ind w:left="0" w:firstLine="523" w:firstLineChars="218"/>
        <w:rPr>
          <w:rFonts w:ascii="宋体"/>
          <w:sz w:val="24"/>
        </w:rPr>
      </w:pPr>
      <w:r>
        <w:rPr>
          <w:rFonts w:hint="eastAsia" w:ascii="宋体" w:hAnsi="宋体" w:cs="宋体"/>
          <w:sz w:val="24"/>
        </w:rPr>
        <w:t>我方承诺在规划服务期内于项目所在地设常驻办公场所，并派驻至少两名设计人员，能够在三小时内到达服务现场。</w:t>
      </w:r>
    </w:p>
    <w:p w14:paraId="6A587E4A">
      <w:pPr>
        <w:numPr>
          <w:ilvl w:val="0"/>
          <w:numId w:val="1"/>
        </w:numPr>
        <w:tabs>
          <w:tab w:val="left" w:pos="0"/>
          <w:tab w:val="left" w:pos="315"/>
          <w:tab w:val="left" w:pos="525"/>
          <w:tab w:val="left" w:pos="945"/>
          <w:tab w:val="left" w:pos="1050"/>
          <w:tab w:val="clear" w:pos="552"/>
        </w:tabs>
        <w:spacing w:line="360" w:lineRule="auto"/>
        <w:ind w:left="0" w:firstLine="523" w:firstLineChars="218"/>
        <w:rPr>
          <w:rFonts w:ascii="宋体"/>
          <w:sz w:val="24"/>
        </w:rPr>
      </w:pPr>
      <w:r>
        <w:rPr>
          <w:rFonts w:hint="eastAsia" w:ascii="宋体" w:hAnsi="宋体" w:cs="宋体"/>
          <w:sz w:val="24"/>
        </w:rPr>
        <w:t>我方决不提供虚假材料谋取成交、决不采取不正当手段诋毁、排挤其他供应商、决不与采购人、其它供应商或者采购中心恶意串通、决不向相关工作人员进行商业贿赂、决不拒绝有关部门监督检查或提供虚假情况，如有违反，无条件接受贵方及相关管理部门的处罚。</w:t>
      </w:r>
    </w:p>
    <w:p w14:paraId="52EFEAE8">
      <w:pPr>
        <w:spacing w:line="360" w:lineRule="auto"/>
        <w:ind w:firstLine="720" w:firstLineChars="300"/>
        <w:rPr>
          <w:rFonts w:ascii="宋体"/>
          <w:sz w:val="24"/>
        </w:rPr>
      </w:pPr>
    </w:p>
    <w:p w14:paraId="319DD74F">
      <w:pPr>
        <w:spacing w:line="40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报价人（盖章）：</w:t>
      </w:r>
      <w:r>
        <w:rPr>
          <w:rFonts w:ascii="宋体" w:hAnsi="宋体" w:cs="宋体"/>
          <w:sz w:val="24"/>
        </w:rPr>
        <w:t xml:space="preserve">     </w:t>
      </w:r>
    </w:p>
    <w:p w14:paraId="2F9FFD9C">
      <w:pPr>
        <w:spacing w:line="400" w:lineRule="exact"/>
        <w:ind w:firstLine="480" w:firstLineChars="200"/>
        <w:rPr>
          <w:rFonts w:ascii="宋体"/>
          <w:sz w:val="24"/>
        </w:rPr>
      </w:pPr>
      <w:r>
        <w:rPr>
          <w:rFonts w:hint="eastAsia" w:ascii="宋体" w:hAnsi="宋体" w:cs="宋体"/>
          <w:sz w:val="24"/>
        </w:rPr>
        <w:t>法定代表人或法定代表人授权代表签字或盖章：</w:t>
      </w:r>
    </w:p>
    <w:p w14:paraId="665BAF73">
      <w:pPr>
        <w:spacing w:line="400" w:lineRule="exact"/>
        <w:ind w:firstLine="480" w:firstLineChars="200"/>
        <w:rPr>
          <w:rFonts w:ascii="宋体"/>
          <w:sz w:val="24"/>
        </w:rPr>
      </w:pPr>
      <w:r>
        <w:rPr>
          <w:rFonts w:hint="eastAsia" w:ascii="宋体" w:hAnsi="宋体" w:cs="宋体"/>
          <w:sz w:val="24"/>
        </w:rPr>
        <w:t>电话：</w:t>
      </w:r>
      <w:r>
        <w:rPr>
          <w:rFonts w:ascii="宋体" w:hAnsi="宋体" w:cs="宋体"/>
          <w:sz w:val="24"/>
        </w:rPr>
        <w:t xml:space="preserve">                              </w:t>
      </w:r>
      <w:r>
        <w:rPr>
          <w:rFonts w:hint="eastAsia" w:ascii="宋体" w:hAnsi="宋体" w:cs="宋体"/>
          <w:sz w:val="24"/>
        </w:rPr>
        <w:t>传真：</w:t>
      </w:r>
    </w:p>
    <w:p w14:paraId="24703D9D">
      <w:pPr>
        <w:spacing w:line="360" w:lineRule="auto"/>
        <w:ind w:firstLine="480" w:firstLineChars="200"/>
        <w:outlineLvl w:val="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通讯地址：</w:t>
      </w:r>
      <w:r>
        <w:rPr>
          <w:rFonts w:ascii="宋体" w:hAnsi="宋体" w:cs="宋体"/>
          <w:sz w:val="24"/>
        </w:rPr>
        <w:t xml:space="preserve">                          </w:t>
      </w:r>
      <w:r>
        <w:rPr>
          <w:rFonts w:hint="eastAsia" w:ascii="宋体" w:hAnsi="宋体" w:cs="宋体"/>
          <w:sz w:val="24"/>
        </w:rPr>
        <w:t>邮编：</w:t>
      </w:r>
      <w:r>
        <w:rPr>
          <w:rFonts w:ascii="宋体" w:hAnsi="宋体" w:cs="宋体"/>
          <w:sz w:val="24"/>
        </w:rPr>
        <w:t xml:space="preserve">     </w:t>
      </w:r>
    </w:p>
    <w:p w14:paraId="5210C18A"/>
    <w:p w14:paraId="1C44CDB2"/>
    <w:p w14:paraId="7DAC9841">
      <w:pPr>
        <w:widowControl/>
        <w:jc w:val="left"/>
      </w:pPr>
      <w:r>
        <w:br w:type="page"/>
      </w:r>
    </w:p>
    <w:p w14:paraId="50450C0B"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附件2</w:t>
      </w:r>
    </w:p>
    <w:p w14:paraId="0596ECFF">
      <w:pPr>
        <w:jc w:val="center"/>
        <w:outlineLvl w:val="0"/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 xml:space="preserve">报价一览表 </w:t>
      </w:r>
    </w:p>
    <w:p w14:paraId="30171474">
      <w:pPr>
        <w:spacing w:line="360" w:lineRule="auto"/>
        <w:ind w:firstLine="720" w:firstLineChars="300"/>
        <w:rPr>
          <w:rFonts w:ascii="宋体" w:hAnsi="宋体" w:cs="宋体"/>
          <w:bCs/>
          <w:sz w:val="24"/>
        </w:rPr>
      </w:pPr>
    </w:p>
    <w:p w14:paraId="2E537440">
      <w:pPr>
        <w:spacing w:line="360" w:lineRule="auto"/>
        <w:ind w:firstLine="720" w:firstLineChars="300"/>
        <w:rPr>
          <w:rFonts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 xml:space="preserve">报价人名称（盖章） </w:t>
      </w:r>
    </w:p>
    <w:p w14:paraId="18997931">
      <w:pPr>
        <w:spacing w:line="360" w:lineRule="auto"/>
        <w:ind w:firstLine="720" w:firstLineChars="300"/>
        <w:rPr>
          <w:rFonts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采购项目编号：                                  单位:元</w:t>
      </w:r>
    </w:p>
    <w:tbl>
      <w:tblPr>
        <w:tblStyle w:val="4"/>
        <w:tblpPr w:leftFromText="180" w:rightFromText="180" w:vertAnchor="text" w:horzAnchor="page" w:tblpX="1834" w:tblpY="515"/>
        <w:tblOverlap w:val="never"/>
        <w:tblW w:w="86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7"/>
        <w:gridCol w:w="6602"/>
      </w:tblGrid>
      <w:tr w14:paraId="02B70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1" w:hRule="atLeast"/>
        </w:trPr>
        <w:tc>
          <w:tcPr>
            <w:tcW w:w="2057" w:type="dxa"/>
            <w:vAlign w:val="center"/>
          </w:tcPr>
          <w:p w14:paraId="3FF95D57">
            <w:pPr>
              <w:autoSpaceDE w:val="0"/>
              <w:autoSpaceDN w:val="0"/>
              <w:adjustRightInd w:val="0"/>
              <w:snapToGrid w:val="0"/>
              <w:spacing w:line="360" w:lineRule="auto"/>
              <w:ind w:firstLine="194" w:firstLineChars="81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项目名称</w:t>
            </w:r>
          </w:p>
        </w:tc>
        <w:tc>
          <w:tcPr>
            <w:tcW w:w="6602" w:type="dxa"/>
            <w:vAlign w:val="center"/>
          </w:tcPr>
          <w:p w14:paraId="3344F69A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无锡市惠山区户外广告阵地设置规划修编</w:t>
            </w:r>
          </w:p>
        </w:tc>
      </w:tr>
      <w:tr w14:paraId="567FA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5" w:hRule="atLeast"/>
        </w:trPr>
        <w:tc>
          <w:tcPr>
            <w:tcW w:w="2057" w:type="dxa"/>
            <w:vAlign w:val="center"/>
          </w:tcPr>
          <w:p w14:paraId="4ED85911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项目报价</w:t>
            </w: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（总价） （人民币）</w:t>
            </w:r>
          </w:p>
        </w:tc>
        <w:tc>
          <w:tcPr>
            <w:tcW w:w="6602" w:type="dxa"/>
            <w:vAlign w:val="center"/>
          </w:tcPr>
          <w:p w14:paraId="73C979B9">
            <w:pPr>
              <w:spacing w:line="360" w:lineRule="auto"/>
              <w:rPr>
                <w:rFonts w:ascii="宋体" w:hAnsi="宋体" w:cs="宋体"/>
                <w:sz w:val="24"/>
                <w:szCs w:val="22"/>
              </w:rPr>
            </w:pPr>
            <w:r>
              <w:rPr>
                <w:rFonts w:hint="eastAsia" w:ascii="宋体" w:hAnsi="宋体" w:cs="宋体"/>
                <w:sz w:val="24"/>
                <w:szCs w:val="22"/>
              </w:rPr>
              <w:t>小写金额：</w:t>
            </w:r>
          </w:p>
          <w:p w14:paraId="359B2990">
            <w:pPr>
              <w:spacing w:line="360" w:lineRule="auto"/>
              <w:rPr>
                <w:rFonts w:ascii="宋体" w:hAnsi="宋体" w:cs="宋体"/>
                <w:sz w:val="24"/>
                <w:szCs w:val="22"/>
              </w:rPr>
            </w:pPr>
          </w:p>
          <w:p w14:paraId="197C4ADF">
            <w:pPr>
              <w:spacing w:line="360" w:lineRule="auto"/>
              <w:rPr>
                <w:rFonts w:ascii="宋体" w:hAnsi="宋体" w:cs="宋体"/>
                <w:sz w:val="24"/>
                <w:szCs w:val="22"/>
              </w:rPr>
            </w:pPr>
            <w:r>
              <w:rPr>
                <w:rFonts w:hint="eastAsia" w:ascii="宋体" w:hAnsi="宋体" w:cs="宋体"/>
                <w:sz w:val="24"/>
                <w:szCs w:val="22"/>
              </w:rPr>
              <w:t xml:space="preserve">大写金额：              </w:t>
            </w:r>
          </w:p>
          <w:p w14:paraId="61CAC4DF">
            <w:pPr>
              <w:spacing w:line="360" w:lineRule="auto"/>
              <w:rPr>
                <w:rFonts w:ascii="宋体" w:hAnsi="宋体" w:cs="宋体"/>
                <w:sz w:val="24"/>
              </w:rPr>
            </w:pPr>
          </w:p>
        </w:tc>
      </w:tr>
      <w:tr w14:paraId="429E1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5" w:hRule="atLeast"/>
        </w:trPr>
        <w:tc>
          <w:tcPr>
            <w:tcW w:w="2057" w:type="dxa"/>
            <w:vAlign w:val="center"/>
          </w:tcPr>
          <w:p w14:paraId="772EC23F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服务内容</w:t>
            </w:r>
          </w:p>
        </w:tc>
        <w:tc>
          <w:tcPr>
            <w:tcW w:w="6602" w:type="dxa"/>
            <w:vAlign w:val="center"/>
          </w:tcPr>
          <w:p w14:paraId="1DC6C13C">
            <w:pPr>
              <w:widowControl/>
              <w:tabs>
                <w:tab w:val="left" w:pos="360"/>
                <w:tab w:val="left" w:pos="960"/>
              </w:tabs>
              <w:snapToGrid w:val="0"/>
              <w:spacing w:line="360" w:lineRule="auto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无锡市惠山区户外广告阵地设置规划修编</w:t>
            </w:r>
          </w:p>
        </w:tc>
      </w:tr>
      <w:tr w14:paraId="10BAC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5" w:hRule="atLeast"/>
        </w:trPr>
        <w:tc>
          <w:tcPr>
            <w:tcW w:w="2057" w:type="dxa"/>
            <w:vAlign w:val="center"/>
          </w:tcPr>
          <w:p w14:paraId="1C3C9153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szCs w:val="22"/>
              </w:rPr>
              <w:t>服务期</w:t>
            </w:r>
          </w:p>
        </w:tc>
        <w:tc>
          <w:tcPr>
            <w:tcW w:w="6602" w:type="dxa"/>
            <w:vAlign w:val="center"/>
          </w:tcPr>
          <w:p w14:paraId="263E1891">
            <w:pPr>
              <w:widowControl/>
              <w:tabs>
                <w:tab w:val="left" w:pos="360"/>
                <w:tab w:val="left" w:pos="960"/>
              </w:tabs>
              <w:spacing w:line="440" w:lineRule="exac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6603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5" w:hRule="atLeast"/>
        </w:trPr>
        <w:tc>
          <w:tcPr>
            <w:tcW w:w="2057" w:type="dxa"/>
            <w:vAlign w:val="center"/>
          </w:tcPr>
          <w:p w14:paraId="637406C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szCs w:val="22"/>
              </w:rPr>
              <w:t>质量标准</w:t>
            </w:r>
          </w:p>
        </w:tc>
        <w:tc>
          <w:tcPr>
            <w:tcW w:w="6602" w:type="dxa"/>
            <w:vAlign w:val="center"/>
          </w:tcPr>
          <w:p w14:paraId="339353F0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符合现行国家、地方强制性、行业性等相关规范和要求，编制的成果需能够通过论证</w:t>
            </w:r>
          </w:p>
        </w:tc>
      </w:tr>
    </w:tbl>
    <w:p w14:paraId="17E1D5AE">
      <w:pPr>
        <w:widowControl/>
        <w:ind w:firstLine="420" w:firstLineChars="200"/>
        <w:jc w:val="left"/>
        <w:rPr>
          <w:rFonts w:ascii="宋体" w:hAnsi="宋体" w:cs="宋体"/>
          <w:bCs/>
          <w:kern w:val="0"/>
          <w:szCs w:val="21"/>
        </w:rPr>
      </w:pPr>
    </w:p>
    <w:p w14:paraId="5C78ABAD">
      <w:pPr>
        <w:widowControl/>
        <w:ind w:firstLine="420" w:firstLineChars="200"/>
        <w:jc w:val="left"/>
        <w:rPr>
          <w:rFonts w:ascii="宋体" w:hAnsi="宋体" w:cs="宋体"/>
          <w:bCs/>
          <w:kern w:val="0"/>
          <w:szCs w:val="21"/>
        </w:rPr>
      </w:pPr>
    </w:p>
    <w:p w14:paraId="44535927">
      <w:pPr>
        <w:spacing w:before="5"/>
        <w:rPr>
          <w:rFonts w:ascii="宋体" w:hAnsi="宋体" w:cs="宋体"/>
          <w:b/>
          <w:bCs/>
          <w:szCs w:val="21"/>
        </w:rPr>
      </w:pPr>
      <w:r>
        <w:rPr>
          <w:rFonts w:hint="eastAsia" w:ascii="宋体" w:hAnsi="宋体" w:cs="宋体"/>
          <w:b/>
          <w:bCs/>
          <w:szCs w:val="21"/>
        </w:rPr>
        <w:t>法定代表人或法定代表人授权代表签字或盖章：</w:t>
      </w:r>
    </w:p>
    <w:p w14:paraId="121B12F7">
      <w:pPr>
        <w:widowControl/>
        <w:ind w:firstLine="420" w:firstLineChars="200"/>
        <w:jc w:val="left"/>
        <w:rPr>
          <w:rFonts w:ascii="宋体" w:hAnsi="宋体" w:cs="宋体"/>
          <w:bCs/>
          <w:kern w:val="0"/>
          <w:szCs w:val="21"/>
        </w:rPr>
      </w:pPr>
    </w:p>
    <w:p w14:paraId="7A86AF50">
      <w:pPr>
        <w:widowControl/>
        <w:ind w:firstLine="420" w:firstLineChars="200"/>
        <w:jc w:val="left"/>
        <w:rPr>
          <w:rFonts w:ascii="宋体" w:hAnsi="宋体" w:cs="宋体"/>
          <w:bCs/>
          <w:kern w:val="0"/>
          <w:szCs w:val="21"/>
        </w:rPr>
      </w:pPr>
    </w:p>
    <w:p w14:paraId="74DF57D4"/>
    <w:p w14:paraId="7CA98674"/>
    <w:p w14:paraId="16598651"/>
    <w:sectPr>
      <w:headerReference r:id="rId3" w:type="default"/>
      <w:pgSz w:w="11906" w:h="16838"/>
      <w:pgMar w:top="1091" w:right="1800" w:bottom="935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519471">
    <w:pPr>
      <w:pStyle w:val="2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4607A38"/>
    <w:multiLevelType w:val="multilevel"/>
    <w:tmpl w:val="64607A38"/>
    <w:lvl w:ilvl="0" w:tentative="0">
      <w:start w:val="1"/>
      <w:numFmt w:val="chineseCountingThousand"/>
      <w:lvlText w:val="%1、"/>
      <w:lvlJc w:val="left"/>
      <w:pPr>
        <w:tabs>
          <w:tab w:val="left" w:pos="552"/>
        </w:tabs>
        <w:ind w:left="552" w:hanging="420"/>
      </w:pPr>
      <w:rPr>
        <w:rFonts w:hint="eastAsia" w:cs="Times New Roman"/>
        <w:color w:val="auto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 w:tentative="0">
      <w:start w:val="10"/>
      <w:numFmt w:val="decimal"/>
      <w:lvlText w:val="%3."/>
      <w:lvlJc w:val="left"/>
      <w:pPr>
        <w:tabs>
          <w:tab w:val="left" w:pos="1200"/>
        </w:tabs>
        <w:ind w:left="1200" w:hanging="360"/>
      </w:pPr>
      <w:rPr>
        <w:rFonts w:hint="default"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B5743D"/>
    <w:rsid w:val="220B1CB9"/>
    <w:rsid w:val="387C6B1D"/>
    <w:rsid w:val="41921ED3"/>
    <w:rsid w:val="523E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qFormat="1"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6">
    <w:name w:val="HTML Typewriter"/>
    <w:basedOn w:val="5"/>
    <w:qFormat/>
    <w:uiPriority w:val="0"/>
    <w:rPr>
      <w:rFonts w:ascii="宋体" w:hAnsi="宋体" w:eastAsia="宋体" w:cs="宋体"/>
      <w:sz w:val="24"/>
      <w:szCs w:val="24"/>
    </w:rPr>
  </w:style>
  <w:style w:type="table" w:customStyle="1" w:styleId="7">
    <w:name w:val="网格型1"/>
    <w:basedOn w:val="4"/>
    <w:autoRedefine/>
    <w:qFormat/>
    <w:uiPriority w:val="59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2806</Words>
  <Characters>3255</Characters>
  <Lines>0</Lines>
  <Paragraphs>0</Paragraphs>
  <TotalTime>3</TotalTime>
  <ScaleCrop>false</ScaleCrop>
  <LinksUpToDate>false</LinksUpToDate>
  <CharactersWithSpaces>3264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2025-05-06T05:22:00Z</dcterms:created>
  <dc:creator>Administrator</dc:creator>
  <cp:lastModifiedBy>KCQ</cp:lastModifiedBy>
  <cp:lastPrinted>2025-05-06T05:23:00Z</cp:lastPrinted>
  <dcterms:modified xsi:type="dcterms:W3CDTF">2025-05-07T08:12:01Z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eyJoZGlkIjoiNGZhZmRjYzJlZGY2NWUyNzYyMWQ2OTM1NmFmMDM3ZTMiLCJ1c2VySWQiOiIzNTc0MTk3NjIifQ==</vt:lpwstr>
  </property>
  <property fmtid="{D5CDD505-2E9C-101B-9397-08002B2CF9AE}" pid="4" name="ICV">
    <vt:lpwstr>FE27AA8F41C245F99D6D80F846E47E8A_12</vt:lpwstr>
  </property>
</Properties>
</file>