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74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深化对接促合作 精准发力谋发展</w:t>
      </w:r>
    </w:p>
    <w:p w14:paraId="15D82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——惠山区赴北京、深圳、南京开展考察交流活动</w:t>
      </w:r>
    </w:p>
    <w:p w14:paraId="27AD6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</w:rPr>
      </w:pPr>
    </w:p>
    <w:p w14:paraId="560AB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28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3月9日至11日，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惠山区分管领导带队赴北京、深圳、南京三地，先后拜访北交所、深交所、江苏股交中心</w:t>
      </w:r>
      <w:r>
        <w:rPr>
          <w:rFonts w:hint="eastAsia" w:ascii="Times New Roman" w:hAnsi="Times New Roman" w:eastAsia="方正仿宋_GBK" w:cs="方正仿宋_GBK"/>
          <w:sz w:val="32"/>
          <w:szCs w:val="28"/>
          <w:lang w:eastAsia="zh-CN"/>
        </w:rPr>
        <w:t>、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无锡京津冀创新中心、新紫光集团、建信投资、中国能建、创元智能</w:t>
      </w:r>
      <w:r>
        <w:rPr>
          <w:rFonts w:hint="eastAsia" w:ascii="Times New Roman" w:hAnsi="Times New Roman" w:eastAsia="方正仿宋_GBK" w:cs="方正仿宋_GBK"/>
          <w:sz w:val="32"/>
          <w:szCs w:val="28"/>
          <w:lang w:val="en-US" w:eastAsia="zh-CN"/>
        </w:rPr>
        <w:t>以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及研一新材料等九家单位，通过实地走访、座谈交流，精准掌握行业动态与企业诉求，与各合作方明确后续合作方向，为惠山高质量发展集聚新动能、拓展新空间。</w:t>
      </w:r>
    </w:p>
    <w:p w14:paraId="366E7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28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28"/>
        </w:rPr>
        <w:t>一、对接多层次资本市场，加速企业上市进程</w:t>
      </w:r>
    </w:p>
    <w:p w14:paraId="2C381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本次考察紧扣多层次资本市场对接核心需求，先后与北交所、深交所、江苏股交中心深入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交流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。目前，惠山区拥有北交所上市企业2家、深交所上市企业4家，新三板挂牌企业15家，江苏股交中心“专精特新”专板挂牌企业37家，另有6家企业拟申报北交所、深交所上市，上市梯队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日益壮大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。考察中，各方就企业上市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审核进展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、资本服务载体建设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达成多项共识。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下阶段，惠山将加强与交易所常态化联系，用足用好区域性股权市场功能，通过跟岗学习锻炼强化专业人才队伍建设，组织走进交易所等活动，持续扩充上市后备梯队，加速企业上市进程。</w:t>
      </w:r>
    </w:p>
    <w:p w14:paraId="5FCAB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28"/>
        </w:rPr>
        <w:t>二、深化央企合作，推动重大项目落地</w:t>
      </w:r>
    </w:p>
    <w:p w14:paraId="3380F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考察团先后拜访建信投资、中国能建两家央企，开展深度对接。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建信投资作为全国首家金融资产投资公司（AIC），在国企改革、科技创新、企业重组等领域经验丰富。双方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就合作方向进行充分探讨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未来拟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建立优质企业互荐机制，推动资本与产业双向赋能。</w:t>
      </w:r>
    </w:p>
    <w:p w14:paraId="09ACD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在中国能建，考察团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就目前合作的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洗砚湖项目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储能项目</w:t>
      </w:r>
      <w:r>
        <w:rPr>
          <w:rFonts w:hint="eastAsia" w:ascii="Times New Roman" w:hAnsi="Times New Roman" w:eastAsia="方正仿宋_GBK" w:cs="方正仿宋_GBK"/>
          <w:sz w:val="32"/>
          <w:szCs w:val="28"/>
          <w:lang w:eastAsia="zh-CN"/>
        </w:rPr>
        <w:t>、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sz w:val="32"/>
          <w:szCs w:val="28"/>
        </w:rPr>
        <w:t>零碳园</w:t>
      </w:r>
      <w:r>
        <w:rPr>
          <w:rFonts w:hint="eastAsia" w:ascii="Times New Roman" w:hAnsi="Times New Roman" w:eastAsia="方正仿宋_GBK" w:cs="方正仿宋_GBK"/>
          <w:sz w:val="32"/>
          <w:szCs w:val="28"/>
          <w:lang w:eastAsia="zh-CN"/>
        </w:rPr>
        <w:t>区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项目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3个重点项目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建设进行充分交流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1177925</wp:posOffset>
            </wp:positionH>
            <wp:positionV relativeFrom="paragraph">
              <wp:posOffset>20320</wp:posOffset>
            </wp:positionV>
            <wp:extent cx="3241675" cy="2430780"/>
            <wp:effectExtent l="0" t="0" r="15875" b="7620"/>
            <wp:wrapTopAndBottom/>
            <wp:docPr id="3" name="图片 3" descr="微信图片_20260318154524_53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318154524_53_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41675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并就企业提出的诉求进行现场对接，明确后续保障举措。</w:t>
      </w:r>
    </w:p>
    <w:p w14:paraId="4FB7C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28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28"/>
        </w:rPr>
        <w:t>三、发挥区域创新中心前哨作用，深化京锡协同</w:t>
      </w:r>
    </w:p>
    <w:p w14:paraId="50AD7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28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考察团还赴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无锡京津冀创新中心</w:t>
      </w:r>
      <w:r>
        <w:rPr>
          <w:rFonts w:hint="eastAsia" w:ascii="Times New Roman" w:hAnsi="Times New Roman" w:eastAsia="方正仿宋_GBK" w:cs="方正仿宋_GBK"/>
          <w:sz w:val="32"/>
          <w:szCs w:val="28"/>
          <w:lang w:val="en-US" w:eastAsia="zh-CN"/>
        </w:rPr>
        <w:t>进行交流座谈。考察团明确，下阶段将继续依托中心在京津冀地区的</w:t>
      </w:r>
      <w:r>
        <w:rPr>
          <w:rFonts w:hint="default" w:ascii="Times New Roman" w:hAnsi="Times New Roman" w:eastAsia="方正仿宋_GBK" w:cs="方正仿宋_GBK"/>
          <w:color w:val="000000"/>
          <w:kern w:val="2"/>
          <w:sz w:val="32"/>
          <w:szCs w:val="32"/>
          <w:highlight w:val="none"/>
          <w:lang w:val="en-US" w:eastAsia="zh-CN" w:bidi="ar"/>
        </w:rPr>
        <w:t>“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前哨</w:t>
      </w:r>
      <w:r>
        <w:rPr>
          <w:rFonts w:hint="default" w:ascii="Times New Roman" w:hAnsi="Times New Roman" w:eastAsia="方正仿宋_GBK" w:cs="方正仿宋_GBK"/>
          <w:color w:val="000000"/>
          <w:kern w:val="2"/>
          <w:sz w:val="32"/>
          <w:szCs w:val="32"/>
          <w:highlight w:val="none"/>
          <w:lang w:val="en-US" w:eastAsia="zh-CN" w:bidi="ar"/>
        </w:rPr>
        <w:t>”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和</w:t>
      </w:r>
      <w:r>
        <w:rPr>
          <w:rFonts w:hint="default" w:ascii="Times New Roman" w:hAnsi="Times New Roman" w:eastAsia="方正仿宋_GBK" w:cs="方正仿宋_GBK"/>
          <w:color w:val="000000"/>
          <w:kern w:val="2"/>
          <w:sz w:val="32"/>
          <w:szCs w:val="32"/>
          <w:highlight w:val="none"/>
          <w:lang w:val="en-US" w:eastAsia="zh-CN" w:bidi="ar"/>
        </w:rPr>
        <w:t>“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桥梁</w:t>
      </w:r>
      <w:r>
        <w:rPr>
          <w:rFonts w:hint="default" w:ascii="Times New Roman" w:hAnsi="Times New Roman" w:eastAsia="方正仿宋_GBK" w:cs="方正仿宋_GBK"/>
          <w:color w:val="000000"/>
          <w:kern w:val="2"/>
          <w:sz w:val="32"/>
          <w:szCs w:val="32"/>
          <w:highlight w:val="none"/>
          <w:lang w:val="en-US" w:eastAsia="zh-CN" w:bidi="ar"/>
        </w:rPr>
        <w:t>”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作用</w:t>
      </w:r>
      <w:r>
        <w:rPr>
          <w:rFonts w:hint="eastAsia" w:ascii="Times New Roman" w:hAnsi="Times New Roman" w:eastAsia="方正仿宋_GBK" w:cs="方正仿宋_GBK"/>
          <w:sz w:val="32"/>
          <w:szCs w:val="28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sz w:val="32"/>
          <w:szCs w:val="28"/>
          <w:lang w:val="en-US" w:eastAsia="zh-CN"/>
        </w:rPr>
        <w:t>与中心</w:t>
      </w:r>
      <w:r>
        <w:rPr>
          <w:rFonts w:hint="eastAsia" w:ascii="Times New Roman" w:hAnsi="Times New Roman" w:eastAsia="方正仿宋_GBK" w:cs="方正仿宋_GBK"/>
          <w:sz w:val="32"/>
          <w:szCs w:val="28"/>
          <w:lang w:eastAsia="zh-CN"/>
        </w:rPr>
        <w:t>建立常态化沟通机制，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加强对京津冀地区项目信息的摸排与梳理，提升项目转化质效</w:t>
      </w:r>
      <w:r>
        <w:rPr>
          <w:rFonts w:hint="eastAsia" w:ascii="Times New Roman" w:hAnsi="Times New Roman" w:eastAsia="方正仿宋_GBK" w:cs="方正仿宋_GBK"/>
          <w:sz w:val="32"/>
          <w:szCs w:val="28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sz w:val="32"/>
          <w:szCs w:val="28"/>
          <w:lang w:val="en-US" w:eastAsia="zh-CN"/>
        </w:rPr>
        <w:t>并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借助中心积累的部委资源，争取更多政策试点和产业合作机会，为惠山高质量发展引入</w:t>
      </w:r>
      <w:r>
        <w:rPr>
          <w:rFonts w:hint="eastAsia" w:ascii="Times New Roman" w:hAnsi="Times New Roman" w:eastAsia="方正仿宋_GBK" w:cs="方正仿宋_GBK"/>
          <w:sz w:val="32"/>
          <w:szCs w:val="28"/>
          <w:lang w:val="en-US" w:eastAsia="zh-CN"/>
        </w:rPr>
        <w:t>更多</w:t>
      </w:r>
      <w:r>
        <w:rPr>
          <w:rFonts w:hint="default" w:ascii="Times New Roman" w:hAnsi="Times New Roman" w:eastAsia="方正仿宋_GBK" w:cs="方正仿宋_GBK"/>
          <w:color w:val="000000"/>
          <w:kern w:val="2"/>
          <w:sz w:val="32"/>
          <w:szCs w:val="32"/>
          <w:highlight w:val="none"/>
          <w:lang w:val="en-US" w:eastAsia="zh-CN" w:bidi="ar"/>
        </w:rPr>
        <w:t>“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国家队</w:t>
      </w:r>
      <w:r>
        <w:rPr>
          <w:rFonts w:hint="default" w:ascii="Times New Roman" w:hAnsi="Times New Roman" w:eastAsia="方正仿宋_GBK" w:cs="方正仿宋_GBK"/>
          <w:sz w:val="32"/>
          <w:szCs w:val="28"/>
          <w:lang w:val="en-US" w:eastAsia="zh-CN"/>
        </w:rPr>
        <w:t>”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资源。</w:t>
      </w:r>
    </w:p>
    <w:p w14:paraId="58D8B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28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28"/>
        </w:rPr>
        <w:t>四、聚焦民企创新活力，打造产业新增长极</w:t>
      </w:r>
    </w:p>
    <w:p w14:paraId="5DE65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28"/>
        </w:rPr>
      </w:pPr>
      <w:r>
        <w:rPr>
          <w:rFonts w:hint="eastAsia" w:ascii="Times New Roman" w:hAnsi="Times New Roman" w:eastAsia="方正仿宋_GBK" w:cs="方正仿宋_GBK"/>
          <w:sz w:val="32"/>
          <w:szCs w:val="28"/>
          <w:lang w:val="en-US" w:eastAsia="zh-CN"/>
        </w:rPr>
        <w:t>聚焦提升民营企业创新活力，考察团与新紫光集团、创元智能、研一新材料三家高科技领域领军民企深入洽谈，推动前沿产业项目在惠山落地生根。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三家企业均在我区有产业布局或计划加大投资，项目涵盖国产智算终端、物联网边缘算力、新能源材料等前沿方向。</w:t>
      </w:r>
      <w:r>
        <w:rPr>
          <w:rFonts w:hint="eastAsia" w:ascii="Times New Roman" w:hAnsi="Times New Roman" w:eastAsia="方正仿宋_GBK" w:cs="方正仿宋_GBK"/>
          <w:sz w:val="32"/>
          <w:szCs w:val="28"/>
          <w:lang w:val="en-US" w:eastAsia="zh-CN"/>
        </w:rPr>
        <w:t>下一步，我区将继续对接企业诉求，针对企业提出的融资、空间、人才等诉求，坚持“一企一策”精准服务，强化要素保障与政策兑现，精准服务企业上市，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确保惠企政策应享尽享、直达快享，</w:t>
      </w:r>
      <w:r>
        <w:rPr>
          <w:rFonts w:hint="eastAsia" w:ascii="Times New Roman" w:hAnsi="Times New Roman" w:eastAsia="方正仿宋_GBK" w:cs="方正仿宋_GBK"/>
          <w:sz w:val="32"/>
          <w:szCs w:val="28"/>
          <w:lang w:val="en-US" w:eastAsia="zh-CN"/>
        </w:rPr>
        <w:t>加快推动项目扩能升级，打造产业新增长极</w:t>
      </w:r>
      <w:r>
        <w:rPr>
          <w:rFonts w:hint="eastAsia" w:ascii="Times New Roman" w:hAnsi="Times New Roman" w:eastAsia="方正仿宋_GBK" w:cs="方正仿宋_GBK"/>
          <w:sz w:val="32"/>
          <w:szCs w:val="28"/>
        </w:rPr>
        <w:t>。</w:t>
      </w:r>
    </w:p>
    <w:p w14:paraId="6F781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本次考察行程紧凑、成果丰硕，既精准掌握企业诉求、又捕捉最新产业发展动向、拓宽高端合作渠道，对我区后续拓展合作渠道、集聚发展资源具有重要意义，为区域产业升级与经济高质量发展注入强劲动力。</w:t>
      </w:r>
    </w:p>
    <w:p w14:paraId="5C49F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387FD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134620</wp:posOffset>
            </wp:positionV>
            <wp:extent cx="2509520" cy="1883410"/>
            <wp:effectExtent l="0" t="0" r="5080" b="2540"/>
            <wp:wrapTopAndBottom/>
            <wp:docPr id="2" name="图片 2" descr="微信图片_20260318154505_47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318154505_47_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952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176530</wp:posOffset>
            </wp:positionV>
            <wp:extent cx="2513965" cy="1885950"/>
            <wp:effectExtent l="0" t="0" r="635" b="0"/>
            <wp:wrapSquare wrapText="bothSides"/>
            <wp:docPr id="1" name="图片 1" descr="微信图片_20260318154423_31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318154423_31_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7E1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73FB8"/>
    <w:rsid w:val="00CB77BE"/>
    <w:rsid w:val="010158D6"/>
    <w:rsid w:val="01A3073B"/>
    <w:rsid w:val="0398305C"/>
    <w:rsid w:val="06F07F7E"/>
    <w:rsid w:val="07351E35"/>
    <w:rsid w:val="073B6AEB"/>
    <w:rsid w:val="08B66FA6"/>
    <w:rsid w:val="0AF12517"/>
    <w:rsid w:val="0BED0F30"/>
    <w:rsid w:val="0C4C20FB"/>
    <w:rsid w:val="0ED87C76"/>
    <w:rsid w:val="0F5B2655"/>
    <w:rsid w:val="118440E5"/>
    <w:rsid w:val="13970E9E"/>
    <w:rsid w:val="16CD3E38"/>
    <w:rsid w:val="178A7F7B"/>
    <w:rsid w:val="186662F2"/>
    <w:rsid w:val="1D270A2C"/>
    <w:rsid w:val="1D2B18B9"/>
    <w:rsid w:val="1D9F5E03"/>
    <w:rsid w:val="1FE50445"/>
    <w:rsid w:val="202B1BD0"/>
    <w:rsid w:val="229D6DB5"/>
    <w:rsid w:val="23A16ADC"/>
    <w:rsid w:val="2472601F"/>
    <w:rsid w:val="26E1123A"/>
    <w:rsid w:val="27283097"/>
    <w:rsid w:val="2B7B1C5D"/>
    <w:rsid w:val="2C70553A"/>
    <w:rsid w:val="2D19172E"/>
    <w:rsid w:val="2E717347"/>
    <w:rsid w:val="2F4D3910"/>
    <w:rsid w:val="2FDE6C5E"/>
    <w:rsid w:val="327F2033"/>
    <w:rsid w:val="339C6C14"/>
    <w:rsid w:val="365437D6"/>
    <w:rsid w:val="371A7A05"/>
    <w:rsid w:val="39A22AAB"/>
    <w:rsid w:val="3B7566C9"/>
    <w:rsid w:val="3BA62CBD"/>
    <w:rsid w:val="3BED2703"/>
    <w:rsid w:val="41101E4C"/>
    <w:rsid w:val="41540B2E"/>
    <w:rsid w:val="424961B9"/>
    <w:rsid w:val="4340580E"/>
    <w:rsid w:val="437E6337"/>
    <w:rsid w:val="44A27E03"/>
    <w:rsid w:val="45A656D1"/>
    <w:rsid w:val="47413903"/>
    <w:rsid w:val="47B57E4D"/>
    <w:rsid w:val="4F3E3390"/>
    <w:rsid w:val="4FB70C06"/>
    <w:rsid w:val="50EC48E0"/>
    <w:rsid w:val="50EF43D0"/>
    <w:rsid w:val="54E104D3"/>
    <w:rsid w:val="556C2493"/>
    <w:rsid w:val="56C360E3"/>
    <w:rsid w:val="56EA18C1"/>
    <w:rsid w:val="5862192B"/>
    <w:rsid w:val="59FB2037"/>
    <w:rsid w:val="5C915E6B"/>
    <w:rsid w:val="5CBF734C"/>
    <w:rsid w:val="5DEC4171"/>
    <w:rsid w:val="5F131BD1"/>
    <w:rsid w:val="61C3343B"/>
    <w:rsid w:val="61DE64C6"/>
    <w:rsid w:val="61E12FCC"/>
    <w:rsid w:val="65270184"/>
    <w:rsid w:val="66B75538"/>
    <w:rsid w:val="670F7122"/>
    <w:rsid w:val="6B5FC95C"/>
    <w:rsid w:val="6B727540"/>
    <w:rsid w:val="6E22773B"/>
    <w:rsid w:val="6EF94940"/>
    <w:rsid w:val="6F0A40EE"/>
    <w:rsid w:val="6F906926"/>
    <w:rsid w:val="70B76860"/>
    <w:rsid w:val="711C66C3"/>
    <w:rsid w:val="716B13F9"/>
    <w:rsid w:val="722424EC"/>
    <w:rsid w:val="737427E7"/>
    <w:rsid w:val="73814F04"/>
    <w:rsid w:val="741E6BF6"/>
    <w:rsid w:val="75657306"/>
    <w:rsid w:val="79246A5D"/>
    <w:rsid w:val="7E3A462D"/>
    <w:rsid w:val="7F967F89"/>
    <w:rsid w:val="7FE5681A"/>
    <w:rsid w:val="990E8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2026-03-23T13:19:00Z</dcterms:created>
  <dc:creator>admin</dc:creator>
  <cp:lastModifiedBy>Minerva</cp:lastModifiedBy>
  <dcterms:modified xsi:type="dcterms:W3CDTF">2026-03-24T13:39:15Z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eyJoZGlkIjoiZDU2MjBmZTRlZjgzYmE4YTM5ZTBhMWU2YzZhMjAwN2EiLCJ1c2VySWQiOiI1NDAxNDgwMjAifQ==</vt:lpwstr>
  </property>
  <property fmtid="{D5CDD505-2E9C-101B-9397-08002B2CF9AE}" pid="4" name="ICV">
    <vt:lpwstr>E172FF54D3DD40DBA8F170575A432A1F_12</vt:lpwstr>
  </property>
</Properties>
</file>