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902" w:rsidRDefault="008A6298">
      <w:pPr>
        <w:spacing w:before="9" w:line="574" w:lineRule="exact"/>
        <w:ind w:left="120"/>
        <w:rPr>
          <w:rFonts w:ascii="Times New Roman" w:eastAsia="方正黑体_GBK" w:hAnsi="Times New Roman" w:cs="Times New Roman"/>
          <w:sz w:val="32"/>
          <w:szCs w:val="32"/>
          <w:lang w:eastAsia="zh-CN"/>
        </w:rPr>
      </w:pPr>
      <w:r>
        <w:rPr>
          <w:rFonts w:ascii="Times New Roman" w:eastAsia="方正黑体_GBK" w:hAnsi="Times New Roman" w:cs="Times New Roman"/>
          <w:sz w:val="32"/>
          <w:szCs w:val="32"/>
          <w:lang w:eastAsia="zh-CN"/>
        </w:rPr>
        <w:t>附件</w:t>
      </w:r>
      <w:r>
        <w:rPr>
          <w:rFonts w:ascii="Times New Roman" w:eastAsia="方正黑体_GBK" w:hAnsi="Times New Roman" w:cs="Times New Roman"/>
          <w:sz w:val="32"/>
          <w:szCs w:val="32"/>
          <w:lang w:eastAsia="zh-CN"/>
        </w:rPr>
        <w:t>7</w:t>
      </w:r>
    </w:p>
    <w:p w:rsidR="00A45902" w:rsidRDefault="00A45902">
      <w:pPr>
        <w:spacing w:before="2" w:line="574" w:lineRule="exact"/>
        <w:rPr>
          <w:rFonts w:ascii="Times New Roman" w:eastAsia="宋体" w:hAnsi="Times New Roman" w:cs="Times New Roman"/>
          <w:sz w:val="27"/>
          <w:szCs w:val="27"/>
          <w:lang w:eastAsia="zh-CN"/>
        </w:rPr>
      </w:pPr>
    </w:p>
    <w:p w:rsidR="00A45902" w:rsidRDefault="008A6298">
      <w:pPr>
        <w:spacing w:line="574" w:lineRule="exact"/>
        <w:jc w:val="center"/>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lang w:eastAsia="zh-CN"/>
        </w:rPr>
        <w:t>江苏省政府专项债券项目绩效自评价报告</w:t>
      </w:r>
    </w:p>
    <w:p w:rsidR="00A45902" w:rsidRDefault="00A45902">
      <w:pPr>
        <w:spacing w:line="574" w:lineRule="exact"/>
        <w:ind w:firstLineChars="200" w:firstLine="600"/>
        <w:jc w:val="both"/>
        <w:rPr>
          <w:rFonts w:ascii="Times New Roman" w:eastAsia="黑体" w:hAnsi="Times New Roman" w:cs="Times New Roman"/>
          <w:sz w:val="30"/>
          <w:szCs w:val="30"/>
          <w:lang w:eastAsia="zh-CN"/>
        </w:rPr>
      </w:pPr>
    </w:p>
    <w:p w:rsidR="00A45902" w:rsidRDefault="008A6298">
      <w:pPr>
        <w:spacing w:line="574" w:lineRule="exact"/>
        <w:ind w:firstLineChars="200" w:firstLine="640"/>
        <w:jc w:val="both"/>
        <w:rPr>
          <w:rFonts w:ascii="Times New Roman" w:eastAsia="黑体" w:hAnsi="Times New Roman" w:cs="Times New Roman"/>
          <w:sz w:val="32"/>
          <w:szCs w:val="32"/>
          <w:lang w:eastAsia="zh-CN"/>
        </w:rPr>
      </w:pPr>
      <w:r>
        <w:rPr>
          <w:rFonts w:ascii="Times New Roman" w:eastAsia="黑体" w:hAnsi="Times New Roman" w:cs="Times New Roman"/>
          <w:sz w:val="32"/>
          <w:szCs w:val="32"/>
          <w:lang w:eastAsia="zh-CN"/>
        </w:rPr>
        <w:t>一、项目情况</w:t>
      </w:r>
    </w:p>
    <w:p w:rsidR="00A45902" w:rsidRDefault="008A6298" w:rsidP="004A776D">
      <w:pPr>
        <w:spacing w:line="574" w:lineRule="exact"/>
        <w:ind w:firstLineChars="200" w:firstLine="632"/>
        <w:jc w:val="both"/>
        <w:rPr>
          <w:rFonts w:ascii="方正楷体_GBK" w:eastAsia="方正楷体_GBK" w:hAnsi="方正楷体_GBK" w:cs="方正楷体_GBK"/>
          <w:sz w:val="32"/>
          <w:szCs w:val="32"/>
          <w:lang w:eastAsia="zh-CN"/>
        </w:rPr>
      </w:pPr>
      <w:r>
        <w:rPr>
          <w:rFonts w:ascii="方正楷体_GBK" w:eastAsia="方正楷体_GBK" w:hAnsi="方正楷体_GBK" w:cs="方正楷体_GBK" w:hint="eastAsia"/>
          <w:spacing w:val="-4"/>
          <w:sz w:val="32"/>
          <w:szCs w:val="32"/>
          <w:lang w:eastAsia="zh-CN"/>
        </w:rPr>
        <w:t>（一）项目概况。</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hint="eastAsia"/>
          <w:sz w:val="32"/>
          <w:szCs w:val="32"/>
          <w:lang w:eastAsia="zh-CN"/>
        </w:rPr>
        <w:t>1.</w:t>
      </w:r>
      <w:r>
        <w:rPr>
          <w:rFonts w:ascii="Times New Roman" w:eastAsia="方正仿宋_GBK" w:hAnsi="Times New Roman" w:cs="Times New Roman" w:hint="eastAsia"/>
          <w:sz w:val="32"/>
          <w:szCs w:val="32"/>
          <w:lang w:eastAsia="zh-CN"/>
        </w:rPr>
        <w:t>项目名称：无锡市惠山区水澄路与天锦路交叉口西北侧地块土地储备专项债项目</w:t>
      </w:r>
    </w:p>
    <w:p w:rsidR="00A45902" w:rsidRDefault="008A6298">
      <w:pPr>
        <w:spacing w:line="574" w:lineRule="exact"/>
        <w:ind w:firstLineChars="200" w:firstLine="640"/>
        <w:jc w:val="both"/>
        <w:rPr>
          <w:rFonts w:ascii="方正楷体_GBK" w:eastAsia="方正楷体_GBK" w:hAnsi="方正楷体_GBK" w:cs="方正楷体_GBK"/>
          <w:spacing w:val="-4"/>
          <w:sz w:val="32"/>
          <w:szCs w:val="32"/>
          <w:lang w:eastAsia="zh-CN"/>
        </w:rPr>
      </w:pPr>
      <w:r>
        <w:rPr>
          <w:rFonts w:ascii="Times New Roman" w:eastAsia="方正仿宋_GBK" w:hAnsi="Times New Roman" w:cs="Times New Roman" w:hint="eastAsia"/>
          <w:sz w:val="32"/>
          <w:szCs w:val="32"/>
          <w:lang w:eastAsia="zh-CN"/>
        </w:rPr>
        <w:t>2</w:t>
      </w:r>
      <w:r>
        <w:rPr>
          <w:rFonts w:ascii="Times New Roman" w:eastAsia="方正仿宋_GBK" w:hAnsi="Times New Roman" w:cs="Times New Roman"/>
          <w:sz w:val="32"/>
          <w:szCs w:val="32"/>
          <w:lang w:eastAsia="zh-CN"/>
        </w:rPr>
        <w:t>.</w:t>
      </w:r>
      <w:r>
        <w:rPr>
          <w:rFonts w:ascii="Times New Roman" w:eastAsia="方正仿宋_GBK" w:hAnsi="Times New Roman" w:cs="Times New Roman" w:hint="eastAsia"/>
          <w:sz w:val="32"/>
          <w:szCs w:val="32"/>
          <w:lang w:eastAsia="zh-CN"/>
        </w:rPr>
        <w:t>项目背景</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sz w:val="32"/>
          <w:szCs w:val="32"/>
          <w:lang w:eastAsia="zh-CN"/>
        </w:rPr>
        <w:t xml:space="preserve">2024 </w:t>
      </w:r>
      <w:r>
        <w:rPr>
          <w:rFonts w:ascii="Times New Roman" w:eastAsia="方正仿宋_GBK" w:hAnsi="Times New Roman" w:cs="Times New Roman"/>
          <w:sz w:val="32"/>
          <w:szCs w:val="32"/>
          <w:lang w:eastAsia="zh-CN"/>
        </w:rPr>
        <w:t>年</w:t>
      </w:r>
      <w:r>
        <w:rPr>
          <w:rFonts w:ascii="Times New Roman" w:eastAsia="方正仿宋_GBK" w:hAnsi="Times New Roman" w:cs="Times New Roman"/>
          <w:sz w:val="32"/>
          <w:szCs w:val="32"/>
          <w:lang w:eastAsia="zh-CN"/>
        </w:rPr>
        <w:t xml:space="preserve"> 9 </w:t>
      </w:r>
      <w:r>
        <w:rPr>
          <w:rFonts w:ascii="Times New Roman" w:eastAsia="方正仿宋_GBK" w:hAnsi="Times New Roman" w:cs="Times New Roman"/>
          <w:sz w:val="32"/>
          <w:szCs w:val="32"/>
          <w:lang w:eastAsia="zh-CN"/>
        </w:rPr>
        <w:t>月</w:t>
      </w:r>
      <w:r>
        <w:rPr>
          <w:rFonts w:ascii="Times New Roman" w:eastAsia="方正仿宋_GBK" w:hAnsi="Times New Roman" w:cs="Times New Roman"/>
          <w:sz w:val="32"/>
          <w:szCs w:val="32"/>
          <w:lang w:eastAsia="zh-CN"/>
        </w:rPr>
        <w:t xml:space="preserve"> 26 </w:t>
      </w:r>
      <w:r>
        <w:rPr>
          <w:rFonts w:ascii="Times New Roman" w:eastAsia="方正仿宋_GBK" w:hAnsi="Times New Roman" w:cs="Times New Roman"/>
          <w:sz w:val="32"/>
          <w:szCs w:val="32"/>
          <w:lang w:eastAsia="zh-CN"/>
        </w:rPr>
        <w:t>日中央政治局会议，研究存量闲置土地盘活支持政策。</w:t>
      </w:r>
      <w:r>
        <w:rPr>
          <w:rFonts w:ascii="Times New Roman" w:eastAsia="方正仿宋_GBK" w:hAnsi="Times New Roman" w:cs="Times New Roman"/>
          <w:sz w:val="32"/>
          <w:szCs w:val="32"/>
          <w:lang w:eastAsia="zh-CN"/>
        </w:rPr>
        <w:t xml:space="preserve">2024 </w:t>
      </w:r>
      <w:r>
        <w:rPr>
          <w:rFonts w:ascii="Times New Roman" w:eastAsia="方正仿宋_GBK" w:hAnsi="Times New Roman" w:cs="Times New Roman"/>
          <w:sz w:val="32"/>
          <w:szCs w:val="32"/>
          <w:lang w:eastAsia="zh-CN"/>
        </w:rPr>
        <w:t>年</w:t>
      </w:r>
      <w:r>
        <w:rPr>
          <w:rFonts w:ascii="Times New Roman" w:eastAsia="方正仿宋_GBK" w:hAnsi="Times New Roman" w:cs="Times New Roman"/>
          <w:sz w:val="32"/>
          <w:szCs w:val="32"/>
          <w:lang w:eastAsia="zh-CN"/>
        </w:rPr>
        <w:t xml:space="preserve"> 12 </w:t>
      </w:r>
      <w:r>
        <w:rPr>
          <w:rFonts w:ascii="Times New Roman" w:eastAsia="方正仿宋_GBK" w:hAnsi="Times New Roman" w:cs="Times New Roman"/>
          <w:sz w:val="32"/>
          <w:szCs w:val="32"/>
          <w:lang w:eastAsia="zh-CN"/>
        </w:rPr>
        <w:t>月</w:t>
      </w:r>
      <w:r>
        <w:rPr>
          <w:rFonts w:ascii="Times New Roman" w:eastAsia="方正仿宋_GBK" w:hAnsi="Times New Roman" w:cs="Times New Roman"/>
          <w:sz w:val="32"/>
          <w:szCs w:val="32"/>
          <w:lang w:eastAsia="zh-CN"/>
        </w:rPr>
        <w:t xml:space="preserve"> 16 </w:t>
      </w:r>
      <w:r>
        <w:rPr>
          <w:rFonts w:ascii="Times New Roman" w:eastAsia="方正仿宋_GBK" w:hAnsi="Times New Roman" w:cs="Times New Roman"/>
          <w:sz w:val="32"/>
          <w:szCs w:val="32"/>
          <w:lang w:eastAsia="zh-CN"/>
        </w:rPr>
        <w:t>日国务院第</w:t>
      </w:r>
      <w:r>
        <w:rPr>
          <w:rFonts w:ascii="Times New Roman" w:eastAsia="方正仿宋_GBK" w:hAnsi="Times New Roman" w:cs="Times New Roman"/>
          <w:sz w:val="32"/>
          <w:szCs w:val="32"/>
          <w:lang w:eastAsia="zh-CN"/>
        </w:rPr>
        <w:t xml:space="preserve"> 48 </w:t>
      </w:r>
      <w:r>
        <w:rPr>
          <w:rFonts w:ascii="Times New Roman" w:eastAsia="方正仿宋_GBK" w:hAnsi="Times New Roman" w:cs="Times New Roman"/>
          <w:sz w:val="32"/>
          <w:szCs w:val="32"/>
          <w:lang w:eastAsia="zh-CN"/>
        </w:rPr>
        <w:t>次常务会，研究审议通过地方政府专项债券管理机制。</w:t>
      </w:r>
      <w:r>
        <w:rPr>
          <w:rFonts w:ascii="Times New Roman" w:eastAsia="方正仿宋_GBK" w:hAnsi="Times New Roman" w:cs="Times New Roman"/>
          <w:sz w:val="32"/>
          <w:szCs w:val="32"/>
          <w:lang w:eastAsia="zh-CN"/>
        </w:rPr>
        <w:t xml:space="preserve">2024 </w:t>
      </w:r>
      <w:r>
        <w:rPr>
          <w:rFonts w:ascii="Times New Roman" w:eastAsia="方正仿宋_GBK" w:hAnsi="Times New Roman" w:cs="Times New Roman"/>
          <w:sz w:val="32"/>
          <w:szCs w:val="32"/>
          <w:lang w:eastAsia="zh-CN"/>
        </w:rPr>
        <w:t>年</w:t>
      </w:r>
      <w:r>
        <w:rPr>
          <w:rFonts w:ascii="Times New Roman" w:eastAsia="方正仿宋_GBK" w:hAnsi="Times New Roman" w:cs="Times New Roman"/>
          <w:sz w:val="32"/>
          <w:szCs w:val="32"/>
          <w:lang w:eastAsia="zh-CN"/>
        </w:rPr>
        <w:t xml:space="preserve"> 12 </w:t>
      </w:r>
      <w:r>
        <w:rPr>
          <w:rFonts w:ascii="Times New Roman" w:eastAsia="方正仿宋_GBK" w:hAnsi="Times New Roman" w:cs="Times New Roman"/>
          <w:sz w:val="32"/>
          <w:szCs w:val="32"/>
          <w:lang w:eastAsia="zh-CN"/>
        </w:rPr>
        <w:t>月</w:t>
      </w:r>
      <w:r>
        <w:rPr>
          <w:rFonts w:ascii="Times New Roman" w:eastAsia="方正仿宋_GBK" w:hAnsi="Times New Roman" w:cs="Times New Roman"/>
          <w:sz w:val="32"/>
          <w:szCs w:val="32"/>
          <w:lang w:eastAsia="zh-CN"/>
        </w:rPr>
        <w:t xml:space="preserve"> 22</w:t>
      </w:r>
      <w:r>
        <w:rPr>
          <w:rFonts w:ascii="Times New Roman" w:eastAsia="方正仿宋_GBK" w:hAnsi="Times New Roman" w:cs="Times New Roman"/>
          <w:sz w:val="32"/>
          <w:szCs w:val="32"/>
          <w:lang w:eastAsia="zh-CN"/>
        </w:rPr>
        <w:t>日《国务院办公厅关于优化完善地方政府专项债券管理机制的意见》</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国办发〔</w:t>
      </w:r>
      <w:r>
        <w:rPr>
          <w:rFonts w:ascii="Times New Roman" w:eastAsia="方正仿宋_GBK" w:hAnsi="Times New Roman" w:cs="Times New Roman"/>
          <w:sz w:val="32"/>
          <w:szCs w:val="32"/>
          <w:lang w:eastAsia="zh-CN"/>
        </w:rPr>
        <w:t>2024</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 xml:space="preserve">52 </w:t>
      </w:r>
      <w:r>
        <w:rPr>
          <w:rFonts w:ascii="Times New Roman" w:eastAsia="方正仿宋_GBK" w:hAnsi="Times New Roman" w:cs="Times New Roman"/>
          <w:sz w:val="32"/>
          <w:szCs w:val="32"/>
          <w:lang w:eastAsia="zh-CN"/>
        </w:rPr>
        <w:t>号</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，明确</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允许专项债券用于土地储备，支持城市政府回收符合条件的闲置存量土地，有需求的地区也可用于新增土地储备</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sz w:val="32"/>
          <w:szCs w:val="32"/>
          <w:lang w:eastAsia="zh-CN"/>
        </w:rPr>
        <w:t>党中央、国务院的多项文件政策旨在进一步发挥专项债券在加强基础设施建设、补齐民生短板、促进投资扩大等方面的积极作用。财政部、自然资源部多次强调土地储备专项债的</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项目收益自平衡</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原则，要求通过专项债机制实现土地资源开发与财政可持续的协同。</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hint="eastAsia"/>
          <w:sz w:val="32"/>
          <w:szCs w:val="32"/>
          <w:lang w:eastAsia="zh-CN"/>
        </w:rPr>
        <w:t>3.</w:t>
      </w:r>
      <w:r>
        <w:rPr>
          <w:rFonts w:ascii="Times New Roman" w:eastAsia="方正仿宋_GBK" w:hAnsi="Times New Roman" w:cs="Times New Roman" w:hint="eastAsia"/>
          <w:sz w:val="32"/>
          <w:szCs w:val="32"/>
          <w:lang w:eastAsia="zh-CN"/>
        </w:rPr>
        <w:t>主要内容：项目东临水澄路，南至天锦路，西临空地，</w:t>
      </w:r>
      <w:r>
        <w:rPr>
          <w:rFonts w:ascii="Times New Roman" w:eastAsia="方正仿宋_GBK" w:hAnsi="Times New Roman" w:cs="Times New Roman" w:hint="eastAsia"/>
          <w:sz w:val="32"/>
          <w:szCs w:val="32"/>
          <w:lang w:eastAsia="zh-CN"/>
        </w:rPr>
        <w:lastRenderedPageBreak/>
        <w:t>北至西石路，地块总用地面积约</w:t>
      </w:r>
      <w:r>
        <w:rPr>
          <w:rFonts w:ascii="Times New Roman" w:eastAsia="方正仿宋_GBK" w:hAnsi="Times New Roman" w:cs="Times New Roman" w:hint="eastAsia"/>
          <w:sz w:val="32"/>
          <w:szCs w:val="32"/>
          <w:lang w:eastAsia="zh-CN"/>
        </w:rPr>
        <w:t>69183.2</w:t>
      </w:r>
      <w:r>
        <w:rPr>
          <w:rFonts w:ascii="Times New Roman" w:eastAsia="方正仿宋_GBK" w:hAnsi="Times New Roman" w:cs="Times New Roman" w:hint="eastAsia"/>
          <w:sz w:val="32"/>
          <w:szCs w:val="32"/>
          <w:lang w:eastAsia="zh-CN"/>
        </w:rPr>
        <w:t>平方米，规划用地性质为居住用地，原规划容积率</w:t>
      </w:r>
      <w:r>
        <w:rPr>
          <w:rFonts w:ascii="Times New Roman" w:eastAsia="方正仿宋_GBK" w:hAnsi="Times New Roman" w:cs="Times New Roman" w:hint="eastAsia"/>
          <w:sz w:val="32"/>
          <w:szCs w:val="32"/>
          <w:lang w:eastAsia="zh-CN"/>
        </w:rPr>
        <w:t>&gt;1.0</w:t>
      </w:r>
      <w:r>
        <w:rPr>
          <w:rFonts w:ascii="Times New Roman" w:eastAsia="方正仿宋_GBK" w:hAnsi="Times New Roman" w:cs="Times New Roman" w:hint="eastAsia"/>
          <w:sz w:val="32"/>
          <w:szCs w:val="32"/>
          <w:lang w:eastAsia="zh-CN"/>
        </w:rPr>
        <w:t>，且≤</w:t>
      </w:r>
      <w:r>
        <w:rPr>
          <w:rFonts w:ascii="Times New Roman" w:eastAsia="方正仿宋_GBK" w:hAnsi="Times New Roman" w:cs="Times New Roman" w:hint="eastAsia"/>
          <w:sz w:val="32"/>
          <w:szCs w:val="32"/>
          <w:lang w:eastAsia="zh-CN"/>
        </w:rPr>
        <w:t>1.8</w:t>
      </w:r>
      <w:r>
        <w:rPr>
          <w:rFonts w:ascii="Times New Roman" w:eastAsia="方正仿宋_GBK" w:hAnsi="Times New Roman" w:cs="Times New Roman" w:hint="eastAsia"/>
          <w:sz w:val="32"/>
          <w:szCs w:val="32"/>
          <w:lang w:eastAsia="zh-CN"/>
        </w:rPr>
        <w:t>。</w:t>
      </w:r>
      <w:r>
        <w:rPr>
          <w:rFonts w:ascii="Times New Roman" w:eastAsia="方正仿宋_GBK" w:hAnsi="Times New Roman" w:cs="Times New Roman" w:hint="eastAsia"/>
          <w:sz w:val="32"/>
          <w:szCs w:val="32"/>
          <w:lang w:eastAsia="zh-CN"/>
        </w:rPr>
        <w:t>拟按照土地评估价下浮</w:t>
      </w:r>
      <w:r>
        <w:rPr>
          <w:rFonts w:ascii="Times New Roman" w:eastAsia="方正仿宋_GBK" w:hAnsi="Times New Roman" w:cs="Times New Roman" w:hint="eastAsia"/>
          <w:sz w:val="32"/>
          <w:szCs w:val="32"/>
          <w:lang w:eastAsia="zh-CN"/>
        </w:rPr>
        <w:t>25%</w:t>
      </w:r>
      <w:r>
        <w:rPr>
          <w:rFonts w:ascii="Times New Roman" w:eastAsia="方正仿宋_GBK" w:hAnsi="Times New Roman" w:cs="Times New Roman" w:hint="eastAsia"/>
          <w:sz w:val="32"/>
          <w:szCs w:val="32"/>
          <w:lang w:eastAsia="zh-CN"/>
        </w:rPr>
        <w:t>确定收储价格，即</w:t>
      </w:r>
      <w:r>
        <w:rPr>
          <w:rFonts w:ascii="Times New Roman" w:eastAsia="方正仿宋_GBK" w:hAnsi="Times New Roman" w:cs="Times New Roman" w:hint="eastAsia"/>
          <w:sz w:val="32"/>
          <w:szCs w:val="32"/>
          <w:lang w:eastAsia="zh-CN"/>
        </w:rPr>
        <w:t>9.73</w:t>
      </w:r>
      <w:r>
        <w:rPr>
          <w:rFonts w:ascii="Times New Roman" w:eastAsia="方正仿宋_GBK" w:hAnsi="Times New Roman" w:cs="Times New Roman" w:hint="eastAsia"/>
          <w:sz w:val="32"/>
          <w:szCs w:val="32"/>
          <w:lang w:eastAsia="zh-CN"/>
        </w:rPr>
        <w:t>亿元，通过政府专项债券融资</w:t>
      </w:r>
      <w:r>
        <w:rPr>
          <w:rFonts w:ascii="Times New Roman" w:eastAsia="方正仿宋_GBK" w:hAnsi="Times New Roman" w:cs="Times New Roman" w:hint="eastAsia"/>
          <w:sz w:val="32"/>
          <w:szCs w:val="32"/>
          <w:lang w:eastAsia="zh-CN"/>
        </w:rPr>
        <w:t>5.62</w:t>
      </w:r>
      <w:r>
        <w:rPr>
          <w:rFonts w:ascii="Times New Roman" w:eastAsia="方正仿宋_GBK" w:hAnsi="Times New Roman" w:cs="Times New Roman" w:hint="eastAsia"/>
          <w:sz w:val="32"/>
          <w:szCs w:val="32"/>
          <w:lang w:eastAsia="zh-CN"/>
        </w:rPr>
        <w:t>亿元。</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hint="eastAsia"/>
          <w:sz w:val="32"/>
          <w:szCs w:val="32"/>
          <w:lang w:eastAsia="zh-CN"/>
        </w:rPr>
        <w:t>4.</w:t>
      </w:r>
      <w:r>
        <w:rPr>
          <w:rFonts w:ascii="Times New Roman" w:eastAsia="方正仿宋_GBK" w:hAnsi="Times New Roman" w:cs="Times New Roman" w:hint="eastAsia"/>
          <w:sz w:val="32"/>
          <w:szCs w:val="32"/>
          <w:lang w:eastAsia="zh-CN"/>
        </w:rPr>
        <w:t>实施方式：本项目由无锡广泓置业有限公司向无锡市惠山自然资源服务中心（无锡市惠山区土地收购储备中心）提出土地收购申请，经惠山区人民政府集体决策确认后，收购本项目地块。</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hint="eastAsia"/>
          <w:sz w:val="32"/>
          <w:szCs w:val="32"/>
          <w:lang w:eastAsia="zh-CN"/>
        </w:rPr>
        <w:t>5</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lang w:eastAsia="zh-CN"/>
        </w:rPr>
        <w:t>资金投入和使用情况：</w:t>
      </w:r>
      <w:r>
        <w:rPr>
          <w:rFonts w:ascii="Times New Roman" w:eastAsia="方正仿宋_GBK" w:hAnsi="Times New Roman" w:cs="Times New Roman" w:hint="eastAsia"/>
          <w:sz w:val="32"/>
          <w:szCs w:val="32"/>
          <w:lang w:eastAsia="zh-CN"/>
        </w:rPr>
        <w:t>本项目总投资金额</w:t>
      </w:r>
      <w:r>
        <w:rPr>
          <w:rFonts w:ascii="Times New Roman" w:eastAsia="方正仿宋_GBK" w:hAnsi="Times New Roman" w:cs="Times New Roman" w:hint="eastAsia"/>
          <w:sz w:val="32"/>
          <w:szCs w:val="32"/>
          <w:lang w:eastAsia="zh-CN"/>
        </w:rPr>
        <w:t>97300.00</w:t>
      </w:r>
      <w:r>
        <w:rPr>
          <w:rFonts w:ascii="Times New Roman" w:eastAsia="方正仿宋_GBK" w:hAnsi="Times New Roman" w:cs="Times New Roman" w:hint="eastAsia"/>
          <w:sz w:val="32"/>
          <w:szCs w:val="32"/>
          <w:lang w:eastAsia="zh-CN"/>
        </w:rPr>
        <w:t>万元，资金来源为专项债券资金和财政资金，计划发行地方政府专项债券</w:t>
      </w:r>
      <w:r>
        <w:rPr>
          <w:rFonts w:ascii="Times New Roman" w:eastAsia="方正仿宋_GBK" w:hAnsi="Times New Roman" w:cs="Times New Roman" w:hint="eastAsia"/>
          <w:sz w:val="32"/>
          <w:szCs w:val="32"/>
          <w:lang w:eastAsia="zh-CN"/>
        </w:rPr>
        <w:t>56200.00</w:t>
      </w:r>
      <w:r>
        <w:rPr>
          <w:rFonts w:ascii="Times New Roman" w:eastAsia="方正仿宋_GBK" w:hAnsi="Times New Roman" w:cs="Times New Roman" w:hint="eastAsia"/>
          <w:sz w:val="32"/>
          <w:szCs w:val="32"/>
          <w:lang w:eastAsia="zh-CN"/>
        </w:rPr>
        <w:t>万元，剩余</w:t>
      </w:r>
      <w:r>
        <w:rPr>
          <w:rFonts w:ascii="Times New Roman" w:eastAsia="方正仿宋_GBK" w:hAnsi="Times New Roman" w:cs="Times New Roman" w:hint="eastAsia"/>
          <w:sz w:val="32"/>
          <w:szCs w:val="32"/>
          <w:lang w:eastAsia="zh-CN"/>
        </w:rPr>
        <w:t>41100.00</w:t>
      </w:r>
      <w:r>
        <w:rPr>
          <w:rFonts w:ascii="Times New Roman" w:eastAsia="方正仿宋_GBK" w:hAnsi="Times New Roman" w:cs="Times New Roman" w:hint="eastAsia"/>
          <w:sz w:val="32"/>
          <w:szCs w:val="32"/>
          <w:lang w:eastAsia="zh-CN"/>
        </w:rPr>
        <w:t>万元为财政资金。</w:t>
      </w:r>
      <w:r>
        <w:rPr>
          <w:rFonts w:ascii="Times New Roman" w:eastAsia="方正仿宋_GBK" w:hAnsi="Times New Roman" w:cs="Times New Roman" w:hint="eastAsia"/>
          <w:sz w:val="32"/>
          <w:szCs w:val="32"/>
          <w:lang w:eastAsia="zh-CN"/>
        </w:rPr>
        <w:t>2025</w:t>
      </w:r>
      <w:r>
        <w:rPr>
          <w:rFonts w:ascii="Times New Roman" w:eastAsia="方正仿宋_GBK" w:hAnsi="Times New Roman" w:cs="Times New Roman" w:hint="eastAsia"/>
          <w:sz w:val="32"/>
          <w:szCs w:val="32"/>
          <w:lang w:eastAsia="zh-CN"/>
        </w:rPr>
        <w:t>年</w:t>
      </w:r>
      <w:r>
        <w:rPr>
          <w:rFonts w:ascii="Times New Roman" w:eastAsia="方正仿宋_GBK" w:hAnsi="Times New Roman" w:cs="Times New Roman" w:hint="eastAsia"/>
          <w:sz w:val="32"/>
          <w:szCs w:val="32"/>
          <w:lang w:eastAsia="zh-CN"/>
        </w:rPr>
        <w:t>9</w:t>
      </w:r>
      <w:r>
        <w:rPr>
          <w:rFonts w:ascii="Times New Roman" w:eastAsia="方正仿宋_GBK" w:hAnsi="Times New Roman" w:cs="Times New Roman" w:hint="eastAsia"/>
          <w:sz w:val="32"/>
          <w:szCs w:val="32"/>
          <w:lang w:eastAsia="zh-CN"/>
        </w:rPr>
        <w:t>月</w:t>
      </w:r>
      <w:r>
        <w:rPr>
          <w:rFonts w:ascii="Times New Roman" w:eastAsia="方正仿宋_GBK" w:hAnsi="Times New Roman" w:cs="Times New Roman" w:hint="eastAsia"/>
          <w:sz w:val="32"/>
          <w:szCs w:val="32"/>
          <w:lang w:eastAsia="zh-CN"/>
        </w:rPr>
        <w:t>5</w:t>
      </w:r>
      <w:r>
        <w:rPr>
          <w:rFonts w:ascii="Times New Roman" w:eastAsia="方正仿宋_GBK" w:hAnsi="Times New Roman" w:cs="Times New Roman" w:hint="eastAsia"/>
          <w:sz w:val="32"/>
          <w:szCs w:val="32"/>
          <w:lang w:eastAsia="zh-CN"/>
        </w:rPr>
        <w:t>日，拨付首期资金</w:t>
      </w:r>
      <w:r>
        <w:rPr>
          <w:rFonts w:ascii="Times New Roman" w:eastAsia="方正仿宋_GBK" w:hAnsi="Times New Roman" w:cs="Times New Roman" w:hint="eastAsia"/>
          <w:sz w:val="32"/>
          <w:szCs w:val="32"/>
          <w:lang w:eastAsia="zh-CN"/>
        </w:rPr>
        <w:t>5.84</w:t>
      </w:r>
      <w:r>
        <w:rPr>
          <w:rFonts w:ascii="Times New Roman" w:eastAsia="方正仿宋_GBK" w:hAnsi="Times New Roman" w:cs="Times New Roman" w:hint="eastAsia"/>
          <w:sz w:val="32"/>
          <w:szCs w:val="32"/>
          <w:lang w:eastAsia="zh-CN"/>
        </w:rPr>
        <w:t>亿元（</w:t>
      </w:r>
      <w:r>
        <w:rPr>
          <w:rFonts w:ascii="Times New Roman" w:eastAsia="方正仿宋_GBK" w:hAnsi="Times New Roman" w:cs="Times New Roman" w:hint="eastAsia"/>
          <w:sz w:val="32"/>
          <w:szCs w:val="32"/>
          <w:lang w:eastAsia="zh-CN"/>
        </w:rPr>
        <w:t>5.62</w:t>
      </w:r>
      <w:r>
        <w:rPr>
          <w:rFonts w:ascii="Times New Roman" w:eastAsia="方正仿宋_GBK" w:hAnsi="Times New Roman" w:cs="Times New Roman" w:hint="eastAsia"/>
          <w:sz w:val="32"/>
          <w:szCs w:val="32"/>
          <w:lang w:eastAsia="zh-CN"/>
        </w:rPr>
        <w:t>亿元专项债券资金及</w:t>
      </w:r>
      <w:r>
        <w:rPr>
          <w:rFonts w:ascii="Times New Roman" w:eastAsia="方正仿宋_GBK" w:hAnsi="Times New Roman" w:cs="Times New Roman" w:hint="eastAsia"/>
          <w:sz w:val="32"/>
          <w:szCs w:val="32"/>
          <w:lang w:eastAsia="zh-CN"/>
        </w:rPr>
        <w:t>2200</w:t>
      </w:r>
      <w:r>
        <w:rPr>
          <w:rFonts w:ascii="Times New Roman" w:eastAsia="方正仿宋_GBK" w:hAnsi="Times New Roman" w:cs="Times New Roman" w:hint="eastAsia"/>
          <w:sz w:val="32"/>
          <w:szCs w:val="32"/>
          <w:lang w:eastAsia="zh-CN"/>
        </w:rPr>
        <w:t>万元财政资金），</w:t>
      </w:r>
      <w:r>
        <w:rPr>
          <w:rFonts w:ascii="Times New Roman" w:eastAsia="方正仿宋_GBK" w:hAnsi="Times New Roman" w:cs="Times New Roman" w:hint="eastAsia"/>
          <w:sz w:val="32"/>
          <w:szCs w:val="32"/>
          <w:lang w:eastAsia="zh-CN"/>
        </w:rPr>
        <w:t>2026</w:t>
      </w:r>
      <w:r>
        <w:rPr>
          <w:rFonts w:ascii="Times New Roman" w:eastAsia="方正仿宋_GBK" w:hAnsi="Times New Roman" w:cs="Times New Roman" w:hint="eastAsia"/>
          <w:sz w:val="32"/>
          <w:szCs w:val="32"/>
          <w:lang w:eastAsia="zh-CN"/>
        </w:rPr>
        <w:t>年</w:t>
      </w:r>
      <w:r>
        <w:rPr>
          <w:rFonts w:ascii="Times New Roman" w:eastAsia="方正仿宋_GBK" w:hAnsi="Times New Roman" w:cs="Times New Roman" w:hint="eastAsia"/>
          <w:sz w:val="32"/>
          <w:szCs w:val="32"/>
          <w:lang w:eastAsia="zh-CN"/>
        </w:rPr>
        <w:t>2</w:t>
      </w:r>
      <w:r>
        <w:rPr>
          <w:rFonts w:ascii="Times New Roman" w:eastAsia="方正仿宋_GBK" w:hAnsi="Times New Roman" w:cs="Times New Roman" w:hint="eastAsia"/>
          <w:sz w:val="32"/>
          <w:szCs w:val="32"/>
          <w:lang w:eastAsia="zh-CN"/>
        </w:rPr>
        <w:t>月</w:t>
      </w:r>
      <w:r>
        <w:rPr>
          <w:rFonts w:ascii="Times New Roman" w:eastAsia="方正仿宋_GBK" w:hAnsi="Times New Roman" w:cs="Times New Roman" w:hint="eastAsia"/>
          <w:sz w:val="32"/>
          <w:szCs w:val="32"/>
          <w:lang w:eastAsia="zh-CN"/>
        </w:rPr>
        <w:t>4</w:t>
      </w:r>
      <w:r>
        <w:rPr>
          <w:rFonts w:ascii="Times New Roman" w:eastAsia="方正仿宋_GBK" w:hAnsi="Times New Roman" w:cs="Times New Roman" w:hint="eastAsia"/>
          <w:sz w:val="32"/>
          <w:szCs w:val="32"/>
          <w:lang w:eastAsia="zh-CN"/>
        </w:rPr>
        <w:t>日，拨付</w:t>
      </w:r>
      <w:r>
        <w:rPr>
          <w:rFonts w:ascii="Times New Roman" w:eastAsia="方正仿宋_GBK" w:hAnsi="Times New Roman" w:cs="Times New Roman" w:hint="eastAsia"/>
          <w:sz w:val="32"/>
          <w:szCs w:val="32"/>
          <w:lang w:eastAsia="zh-CN"/>
        </w:rPr>
        <w:t>3.89</w:t>
      </w:r>
      <w:r>
        <w:rPr>
          <w:rFonts w:ascii="Times New Roman" w:eastAsia="方正仿宋_GBK" w:hAnsi="Times New Roman" w:cs="Times New Roman" w:hint="eastAsia"/>
          <w:sz w:val="32"/>
          <w:szCs w:val="32"/>
          <w:lang w:eastAsia="zh-CN"/>
        </w:rPr>
        <w:t>亿元尾款。</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方正楷体_GBK" w:eastAsia="方正楷体_GBK" w:hAnsi="方正楷体_GBK" w:cs="方正楷体_GBK" w:hint="eastAsia"/>
          <w:sz w:val="32"/>
          <w:szCs w:val="32"/>
          <w:lang w:eastAsia="zh-CN"/>
        </w:rPr>
        <w:t>（二）绩效目标</w:t>
      </w:r>
      <w:r>
        <w:rPr>
          <w:rFonts w:ascii="Times New Roman" w:eastAsia="方正仿宋_GBK" w:hAnsi="Times New Roman" w:cs="Times New Roman"/>
          <w:sz w:val="32"/>
          <w:szCs w:val="32"/>
          <w:lang w:eastAsia="zh-CN"/>
        </w:rPr>
        <w:t>。</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hint="eastAsia"/>
          <w:sz w:val="32"/>
          <w:szCs w:val="32"/>
          <w:lang w:eastAsia="zh-CN"/>
        </w:rPr>
        <w:t>1.</w:t>
      </w:r>
      <w:r>
        <w:rPr>
          <w:rFonts w:ascii="Times New Roman" w:eastAsia="方正仿宋_GBK" w:hAnsi="Times New Roman" w:cs="Times New Roman"/>
          <w:sz w:val="32"/>
          <w:szCs w:val="32"/>
          <w:lang w:eastAsia="zh-CN"/>
        </w:rPr>
        <w:t>总体目标：依法合规完成目标地块的收购、储备与权属变更，形成产权清晰、具备供应条件的</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净地</w:t>
      </w:r>
      <w:r>
        <w:rPr>
          <w:rFonts w:ascii="Times New Roman" w:eastAsia="方正仿宋_GBK" w:hAnsi="Times New Roman" w:cs="Times New Roman"/>
          <w:sz w:val="32"/>
          <w:szCs w:val="32"/>
          <w:lang w:eastAsia="zh-CN"/>
        </w:rPr>
        <w:t>”</w:t>
      </w:r>
      <w:r>
        <w:rPr>
          <w:rFonts w:ascii="Times New Roman" w:eastAsia="方正仿宋_GBK" w:hAnsi="Times New Roman" w:cs="Times New Roman"/>
          <w:sz w:val="32"/>
          <w:szCs w:val="32"/>
          <w:lang w:eastAsia="zh-CN"/>
        </w:rPr>
        <w:t>。通过后续土地出让，实现项目收益与融资的自求平衡，有效盘活存量土地资产，促进区域土地市场健康稳定，为城市建设与发展提供资金支持和用地保障。</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方正仿宋_GBK" w:hAnsi="Times New Roman" w:cs="Times New Roman" w:hint="eastAsia"/>
          <w:sz w:val="32"/>
          <w:szCs w:val="32"/>
          <w:lang w:eastAsia="zh-CN"/>
        </w:rPr>
        <w:t>2.</w:t>
      </w:r>
      <w:r>
        <w:rPr>
          <w:rFonts w:ascii="Times New Roman" w:eastAsia="方正仿宋_GBK" w:hAnsi="Times New Roman" w:cs="Times New Roman"/>
          <w:sz w:val="32"/>
          <w:szCs w:val="32"/>
          <w:lang w:eastAsia="zh-CN"/>
        </w:rPr>
        <w:t>阶段性目标（</w:t>
      </w:r>
      <w:r>
        <w:rPr>
          <w:rFonts w:ascii="Times New Roman" w:eastAsia="方正仿宋_GBK" w:hAnsi="Times New Roman" w:cs="Times New Roman"/>
          <w:sz w:val="32"/>
          <w:szCs w:val="32"/>
          <w:lang w:eastAsia="zh-CN"/>
        </w:rPr>
        <w:t>2025</w:t>
      </w:r>
      <w:r>
        <w:rPr>
          <w:rFonts w:ascii="Times New Roman" w:eastAsia="方正仿宋_GBK" w:hAnsi="Times New Roman" w:cs="Times New Roman"/>
          <w:sz w:val="32"/>
          <w:szCs w:val="32"/>
          <w:lang w:eastAsia="zh-CN"/>
        </w:rPr>
        <w:t>年度）：一是完成目标地块的收购协议签订、收购价款支付及土地权属变更登记工作，实现土地收储率</w:t>
      </w:r>
      <w:r>
        <w:rPr>
          <w:rFonts w:ascii="Times New Roman" w:eastAsia="方正仿宋_GBK" w:hAnsi="Times New Roman" w:cs="Times New Roman"/>
          <w:sz w:val="32"/>
          <w:szCs w:val="32"/>
          <w:lang w:eastAsia="zh-CN"/>
        </w:rPr>
        <w:t>100%</w:t>
      </w:r>
      <w:r>
        <w:rPr>
          <w:rFonts w:ascii="Times New Roman" w:eastAsia="方正仿宋_GBK" w:hAnsi="Times New Roman" w:cs="Times New Roman"/>
          <w:sz w:val="32"/>
          <w:szCs w:val="32"/>
          <w:lang w:eastAsia="zh-CN"/>
        </w:rPr>
        <w:t>；二是确保专项债券资金依法合规、专款专用，全部</w:t>
      </w:r>
      <w:r>
        <w:rPr>
          <w:rFonts w:ascii="Times New Roman" w:eastAsia="方正仿宋_GBK" w:hAnsi="Times New Roman" w:cs="Times New Roman"/>
          <w:sz w:val="32"/>
          <w:szCs w:val="32"/>
          <w:lang w:eastAsia="zh-CN"/>
        </w:rPr>
        <w:lastRenderedPageBreak/>
        <w:t>用于土地收购支出，预算执</w:t>
      </w:r>
      <w:r>
        <w:rPr>
          <w:rFonts w:ascii="Times New Roman" w:eastAsia="方正仿宋_GBK" w:hAnsi="Times New Roman" w:cs="Times New Roman"/>
          <w:sz w:val="32"/>
          <w:szCs w:val="32"/>
          <w:lang w:eastAsia="zh-CN"/>
        </w:rPr>
        <w:t>行率达到</w:t>
      </w:r>
      <w:r>
        <w:rPr>
          <w:rFonts w:ascii="Times New Roman" w:eastAsia="方正仿宋_GBK" w:hAnsi="Times New Roman" w:cs="Times New Roman"/>
          <w:sz w:val="32"/>
          <w:szCs w:val="32"/>
          <w:lang w:eastAsia="zh-CN"/>
        </w:rPr>
        <w:t>100%</w:t>
      </w:r>
    </w:p>
    <w:p w:rsidR="00A45902" w:rsidRDefault="008A6298">
      <w:pPr>
        <w:spacing w:line="574" w:lineRule="exact"/>
        <w:ind w:firstLineChars="200" w:firstLine="640"/>
        <w:jc w:val="both"/>
        <w:rPr>
          <w:rFonts w:ascii="Times New Roman" w:eastAsia="黑体" w:hAnsi="Times New Roman" w:cs="Times New Roman"/>
          <w:sz w:val="32"/>
          <w:szCs w:val="32"/>
          <w:lang w:eastAsia="zh-CN"/>
        </w:rPr>
      </w:pPr>
      <w:r>
        <w:rPr>
          <w:rFonts w:ascii="Times New Roman" w:eastAsia="黑体" w:hAnsi="Times New Roman" w:cs="Times New Roman"/>
          <w:sz w:val="32"/>
          <w:szCs w:val="32"/>
          <w:lang w:eastAsia="zh-CN"/>
        </w:rPr>
        <w:t>二、评价情况</w:t>
      </w:r>
    </w:p>
    <w:p w:rsidR="00A45902" w:rsidRDefault="008A6298" w:rsidP="004A776D">
      <w:pPr>
        <w:spacing w:line="574" w:lineRule="exact"/>
        <w:ind w:firstLineChars="200" w:firstLine="632"/>
        <w:jc w:val="both"/>
        <w:rPr>
          <w:rFonts w:ascii="方正楷体_GBK" w:eastAsia="方正楷体_GBK" w:hAnsi="方正楷体_GBK" w:cs="方正楷体_GBK"/>
          <w:spacing w:val="-4"/>
          <w:sz w:val="32"/>
          <w:szCs w:val="32"/>
          <w:lang w:eastAsia="zh-CN"/>
        </w:rPr>
      </w:pPr>
      <w:r>
        <w:rPr>
          <w:rFonts w:ascii="方正楷体_GBK" w:eastAsia="方正楷体_GBK" w:hAnsi="方正楷体_GBK" w:cs="方正楷体_GBK" w:hint="eastAsia"/>
          <w:spacing w:val="-4"/>
          <w:sz w:val="32"/>
          <w:szCs w:val="32"/>
          <w:lang w:eastAsia="zh-CN"/>
        </w:rPr>
        <w:t>(</w:t>
      </w:r>
      <w:r>
        <w:rPr>
          <w:rFonts w:ascii="方正楷体_GBK" w:eastAsia="方正楷体_GBK" w:hAnsi="方正楷体_GBK" w:cs="方正楷体_GBK" w:hint="eastAsia"/>
          <w:spacing w:val="-4"/>
          <w:sz w:val="32"/>
          <w:szCs w:val="32"/>
          <w:lang w:eastAsia="zh-CN"/>
        </w:rPr>
        <w:t>一</w:t>
      </w:r>
      <w:r>
        <w:rPr>
          <w:rFonts w:ascii="方正楷体_GBK" w:eastAsia="方正楷体_GBK" w:hAnsi="方正楷体_GBK" w:cs="方正楷体_GBK" w:hint="eastAsia"/>
          <w:spacing w:val="-4"/>
          <w:sz w:val="32"/>
          <w:szCs w:val="32"/>
          <w:lang w:eastAsia="zh-CN"/>
        </w:rPr>
        <w:t>)</w:t>
      </w:r>
      <w:r>
        <w:rPr>
          <w:rFonts w:ascii="方正楷体_GBK" w:eastAsia="方正楷体_GBK" w:hAnsi="方正楷体_GBK" w:cs="方正楷体_GBK" w:hint="eastAsia"/>
          <w:spacing w:val="-4"/>
          <w:sz w:val="32"/>
          <w:szCs w:val="32"/>
          <w:lang w:eastAsia="zh-CN"/>
        </w:rPr>
        <w:t>项目特点分析</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本项目为典型的土地储备专项债券项目，其绩效评价需紧扣</w:t>
      </w:r>
      <w:r>
        <w:rPr>
          <w:rFonts w:ascii="Times New Roman" w:eastAsia="方正仿宋_GBK" w:hAnsi="Times New Roman" w:cs="Times New Roman"/>
          <w:spacing w:val="-4"/>
          <w:sz w:val="32"/>
          <w:szCs w:val="32"/>
          <w:lang w:eastAsia="zh-CN"/>
        </w:rPr>
        <w:t>“</w:t>
      </w:r>
      <w:r>
        <w:rPr>
          <w:rFonts w:ascii="Times New Roman" w:eastAsia="方正仿宋_GBK" w:hAnsi="Times New Roman" w:cs="Times New Roman"/>
          <w:spacing w:val="-4"/>
          <w:sz w:val="32"/>
          <w:szCs w:val="32"/>
          <w:lang w:eastAsia="zh-CN"/>
        </w:rPr>
        <w:t>资产形成</w:t>
      </w:r>
      <w:r>
        <w:rPr>
          <w:rFonts w:ascii="Times New Roman" w:eastAsia="方正仿宋_GBK" w:hAnsi="Times New Roman" w:cs="Times New Roman"/>
          <w:spacing w:val="-4"/>
          <w:sz w:val="32"/>
          <w:szCs w:val="32"/>
          <w:lang w:eastAsia="zh-CN"/>
        </w:rPr>
        <w:t>”</w:t>
      </w:r>
      <w:r>
        <w:rPr>
          <w:rFonts w:ascii="Times New Roman" w:eastAsia="方正仿宋_GBK" w:hAnsi="Times New Roman" w:cs="Times New Roman"/>
          <w:spacing w:val="-4"/>
          <w:sz w:val="32"/>
          <w:szCs w:val="32"/>
          <w:lang w:eastAsia="zh-CN"/>
        </w:rPr>
        <w:t>与</w:t>
      </w:r>
      <w:r>
        <w:rPr>
          <w:rFonts w:ascii="Times New Roman" w:eastAsia="方正仿宋_GBK" w:hAnsi="Times New Roman" w:cs="Times New Roman"/>
          <w:spacing w:val="-4"/>
          <w:sz w:val="32"/>
          <w:szCs w:val="32"/>
          <w:lang w:eastAsia="zh-CN"/>
        </w:rPr>
        <w:t>“</w:t>
      </w:r>
      <w:r>
        <w:rPr>
          <w:rFonts w:ascii="Times New Roman" w:eastAsia="方正仿宋_GBK" w:hAnsi="Times New Roman" w:cs="Times New Roman"/>
          <w:spacing w:val="-4"/>
          <w:sz w:val="32"/>
          <w:szCs w:val="32"/>
          <w:lang w:eastAsia="zh-CN"/>
        </w:rPr>
        <w:t>收益平衡</w:t>
      </w:r>
      <w:r>
        <w:rPr>
          <w:rFonts w:ascii="Times New Roman" w:eastAsia="方正仿宋_GBK" w:hAnsi="Times New Roman" w:cs="Times New Roman"/>
          <w:spacing w:val="-4"/>
          <w:sz w:val="32"/>
          <w:szCs w:val="32"/>
          <w:lang w:eastAsia="zh-CN"/>
        </w:rPr>
        <w:t>”</w:t>
      </w:r>
      <w:r>
        <w:rPr>
          <w:rFonts w:ascii="Times New Roman" w:eastAsia="方正仿宋_GBK" w:hAnsi="Times New Roman" w:cs="Times New Roman"/>
          <w:spacing w:val="-4"/>
          <w:sz w:val="32"/>
          <w:szCs w:val="32"/>
          <w:lang w:eastAsia="zh-CN"/>
        </w:rPr>
        <w:t>两大核心。一是政策导向明确，项目紧密契合盘活存量建设用地、稳地价稳预期的宏观政策，决策依据充分，程序规范。二是实施链条清晰，项目内容单一（土地收购），实施环节（评估、决策、支付、过户）标准明确，易于过程监控和产出考核。三是财务自平衡要求突出，项目核心绩效在于未来土地出让收入能否覆盖全部成本及债券本息，对经济效益和偿债能力的评价至关重要。四是社会效益间接但显著，通过收储闲置土地、调节供应时序，对稳定房地产市场、优化城市空间布局具有长</w:t>
      </w:r>
      <w:r>
        <w:rPr>
          <w:rFonts w:ascii="Times New Roman" w:eastAsia="方正仿宋_GBK" w:hAnsi="Times New Roman" w:cs="Times New Roman"/>
          <w:spacing w:val="-4"/>
          <w:sz w:val="32"/>
          <w:szCs w:val="32"/>
          <w:lang w:eastAsia="zh-CN"/>
        </w:rPr>
        <w:t>期积极影响。</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方正楷体_GBK" w:eastAsia="方正楷体_GBK" w:hAnsi="方正楷体_GBK" w:cs="方正楷体_GBK"/>
          <w:spacing w:val="-4"/>
          <w:sz w:val="32"/>
          <w:szCs w:val="32"/>
          <w:lang w:eastAsia="zh-CN"/>
        </w:rPr>
        <w:t>(</w:t>
      </w:r>
      <w:r>
        <w:rPr>
          <w:rFonts w:ascii="方正楷体_GBK" w:eastAsia="方正楷体_GBK" w:hAnsi="方正楷体_GBK" w:cs="方正楷体_GBK"/>
          <w:spacing w:val="-4"/>
          <w:sz w:val="32"/>
          <w:szCs w:val="32"/>
          <w:lang w:eastAsia="zh-CN"/>
        </w:rPr>
        <w:t>二</w:t>
      </w:r>
      <w:r>
        <w:rPr>
          <w:rFonts w:ascii="方正楷体_GBK" w:eastAsia="方正楷体_GBK" w:hAnsi="方正楷体_GBK" w:cs="方正楷体_GBK"/>
          <w:spacing w:val="-4"/>
          <w:sz w:val="32"/>
          <w:szCs w:val="32"/>
          <w:lang w:eastAsia="zh-CN"/>
        </w:rPr>
        <w:t>)</w:t>
      </w:r>
      <w:r>
        <w:rPr>
          <w:rFonts w:ascii="方正楷体_GBK" w:eastAsia="方正楷体_GBK" w:hAnsi="方正楷体_GBK" w:cs="方正楷体_GBK"/>
          <w:spacing w:val="-4"/>
          <w:sz w:val="32"/>
          <w:szCs w:val="32"/>
          <w:lang w:eastAsia="zh-CN"/>
        </w:rPr>
        <w:t>评价思路方法</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评价原则：遵循客观公正、科学规范、结果导向的原则，聚焦项目决策、管理、产出、效益全过程，真实反映专项债券资金使用效益和项目管理水平。</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评价重点关注内容：重点核查项目立项与收储决策的合规性；评价资金管理（特别是债券资金支付）的规范性与效率；考核土地收储工作（面积、权属、净地状态）的完成情况；评估项目预期收益对融资本息的覆盖能力及可持续性。</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评价方法：综合采用资料审阅法、对比分析法和因素分析法。</w:t>
      </w:r>
      <w:r>
        <w:rPr>
          <w:rFonts w:ascii="Times New Roman" w:eastAsia="方正仿宋_GBK" w:hAnsi="Times New Roman" w:cs="Times New Roman"/>
          <w:spacing w:val="-4"/>
          <w:sz w:val="32"/>
          <w:szCs w:val="32"/>
          <w:lang w:eastAsia="zh-CN"/>
        </w:rPr>
        <w:lastRenderedPageBreak/>
        <w:t>审阅项目实施方案、批复文件、收储协议、支付凭证、权属证书等资料；对比绩效目标与实际完成情况；分析影响项目收益平衡的关键因素。</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评价标准：以国家及地方土地管理、专项债券管理相关法规政策为根本标准，以项目实施方案设定的绩效目标为直接标准，进行量化评分与定性判断。</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方正楷体_GBK" w:eastAsia="方正楷体_GBK" w:hAnsi="方正楷体_GBK" w:cs="方正楷体_GBK"/>
          <w:spacing w:val="-4"/>
          <w:sz w:val="32"/>
          <w:szCs w:val="32"/>
          <w:lang w:eastAsia="zh-CN"/>
        </w:rPr>
        <w:t>(</w:t>
      </w:r>
      <w:r>
        <w:rPr>
          <w:rFonts w:ascii="方正楷体_GBK" w:eastAsia="方正楷体_GBK" w:hAnsi="方正楷体_GBK" w:cs="方正楷体_GBK"/>
          <w:spacing w:val="-4"/>
          <w:sz w:val="32"/>
          <w:szCs w:val="32"/>
          <w:lang w:eastAsia="zh-CN"/>
        </w:rPr>
        <w:t>三</w:t>
      </w:r>
      <w:r>
        <w:rPr>
          <w:rFonts w:ascii="方正楷体_GBK" w:eastAsia="方正楷体_GBK" w:hAnsi="方正楷体_GBK" w:cs="方正楷体_GBK"/>
          <w:spacing w:val="-4"/>
          <w:sz w:val="32"/>
          <w:szCs w:val="32"/>
          <w:lang w:eastAsia="zh-CN"/>
        </w:rPr>
        <w:t>)</w:t>
      </w:r>
      <w:r>
        <w:rPr>
          <w:rFonts w:ascii="方正楷体_GBK" w:eastAsia="方正楷体_GBK" w:hAnsi="方正楷体_GBK" w:cs="方正楷体_GBK"/>
          <w:spacing w:val="-4"/>
          <w:sz w:val="32"/>
          <w:szCs w:val="32"/>
          <w:lang w:eastAsia="zh-CN"/>
        </w:rPr>
        <w:t>评价工作情况</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项目情况核查：通过全面查阅项目立项批复、收储方案、资产评估报告、区政府决策纪要、收购协议、资金支付流水、不动产权证书等文件，确认项目决策程序完备、实施依据充分。核对专项债券资金拨</w:t>
      </w:r>
      <w:r>
        <w:rPr>
          <w:rFonts w:ascii="Times New Roman" w:eastAsia="方正仿宋_GBK" w:hAnsi="Times New Roman" w:cs="Times New Roman"/>
          <w:spacing w:val="-4"/>
          <w:sz w:val="32"/>
          <w:szCs w:val="32"/>
          <w:lang w:eastAsia="zh-CN"/>
        </w:rPr>
        <w:t>付与使用凭证，确认资金用途符合规定。</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社会测评情况：本项目主要涉及与原土地使用权人的商业谈判及资产交割，未大规模涉及公众。评价主要通过核查协议双方履约情况、款项支付凭证等客观材料进行。</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方正楷体_GBK" w:eastAsia="方正楷体_GBK" w:hAnsi="方正楷体_GBK" w:cs="方正楷体_GBK"/>
          <w:spacing w:val="-4"/>
          <w:sz w:val="32"/>
          <w:szCs w:val="32"/>
          <w:lang w:eastAsia="zh-CN"/>
        </w:rPr>
        <w:t>(</w:t>
      </w:r>
      <w:r>
        <w:rPr>
          <w:rFonts w:ascii="方正楷体_GBK" w:eastAsia="方正楷体_GBK" w:hAnsi="方正楷体_GBK" w:cs="方正楷体_GBK"/>
          <w:spacing w:val="-4"/>
          <w:sz w:val="32"/>
          <w:szCs w:val="32"/>
          <w:lang w:eastAsia="zh-CN"/>
        </w:rPr>
        <w:t>四</w:t>
      </w:r>
      <w:r>
        <w:rPr>
          <w:rFonts w:ascii="方正楷体_GBK" w:eastAsia="方正楷体_GBK" w:hAnsi="方正楷体_GBK" w:cs="方正楷体_GBK"/>
          <w:spacing w:val="-4"/>
          <w:sz w:val="32"/>
          <w:szCs w:val="32"/>
          <w:lang w:eastAsia="zh-CN"/>
        </w:rPr>
        <w:t>)</w:t>
      </w:r>
      <w:r>
        <w:rPr>
          <w:rFonts w:ascii="方正楷体_GBK" w:eastAsia="方正楷体_GBK" w:hAnsi="方正楷体_GBK" w:cs="方正楷体_GBK"/>
          <w:spacing w:val="-4"/>
          <w:sz w:val="32"/>
          <w:szCs w:val="32"/>
          <w:lang w:eastAsia="zh-CN"/>
        </w:rPr>
        <w:t>绩效评价结论</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经自我评价，</w:t>
      </w:r>
      <w:r>
        <w:rPr>
          <w:rFonts w:ascii="Times New Roman" w:eastAsia="方正仿宋_GBK" w:hAnsi="Times New Roman" w:cs="Times New Roman"/>
          <w:spacing w:val="-4"/>
          <w:sz w:val="32"/>
          <w:szCs w:val="32"/>
          <w:lang w:eastAsia="zh-CN"/>
        </w:rPr>
        <w:t>2025</w:t>
      </w:r>
      <w:r>
        <w:rPr>
          <w:rFonts w:ascii="Times New Roman" w:eastAsia="方正仿宋_GBK" w:hAnsi="Times New Roman" w:cs="Times New Roman"/>
          <w:spacing w:val="-4"/>
          <w:sz w:val="32"/>
          <w:szCs w:val="32"/>
          <w:lang w:eastAsia="zh-CN"/>
        </w:rPr>
        <w:t>年度无锡市惠山区水澄路与天锦路交叉口西北侧地块土地储备项目绩效得分为</w:t>
      </w:r>
      <w:r>
        <w:rPr>
          <w:rFonts w:ascii="Times New Roman" w:eastAsia="方正仿宋_GBK" w:hAnsi="Times New Roman" w:cs="Times New Roman" w:hint="eastAsia"/>
          <w:spacing w:val="-4"/>
          <w:sz w:val="32"/>
          <w:szCs w:val="32"/>
          <w:lang w:eastAsia="zh-CN"/>
        </w:rPr>
        <w:t>100</w:t>
      </w:r>
      <w:r>
        <w:rPr>
          <w:rFonts w:ascii="Times New Roman" w:eastAsia="方正仿宋_GBK" w:hAnsi="Times New Roman" w:cs="Times New Roman"/>
          <w:spacing w:val="-4"/>
          <w:sz w:val="32"/>
          <w:szCs w:val="32"/>
          <w:lang w:eastAsia="zh-CN"/>
        </w:rPr>
        <w:t>分，评价等级为优秀。项目决策科学，实施程序规范，年度收储任务已全面完成，专项债券资金使用合规高效，为项目总体目标的实现奠定了坚实基础。</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方正黑体_GBK" w:eastAsia="方正黑体_GBK" w:hAnsi="方正黑体_GBK" w:cs="方正黑体_GBK" w:hint="eastAsia"/>
          <w:spacing w:val="-4"/>
          <w:sz w:val="32"/>
          <w:szCs w:val="32"/>
          <w:lang w:eastAsia="zh-CN"/>
        </w:rPr>
        <w:t>三、项目绩效</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资金管理方面，专项债券资金申请、拨付流程规范，资金到位及时。资</w:t>
      </w:r>
      <w:r>
        <w:rPr>
          <w:rFonts w:ascii="Times New Roman" w:eastAsia="方正仿宋_GBK" w:hAnsi="Times New Roman" w:cs="Times New Roman"/>
          <w:spacing w:val="-4"/>
          <w:sz w:val="32"/>
          <w:szCs w:val="32"/>
          <w:lang w:eastAsia="zh-CN"/>
        </w:rPr>
        <w:t>金使用严格限定于土地收购价款支付，专款专用，支</w:t>
      </w:r>
      <w:bookmarkStart w:id="0" w:name="_GoBack"/>
      <w:bookmarkEnd w:id="0"/>
      <w:r>
        <w:rPr>
          <w:rFonts w:ascii="Times New Roman" w:eastAsia="方正仿宋_GBK" w:hAnsi="Times New Roman" w:cs="Times New Roman"/>
          <w:spacing w:val="-4"/>
          <w:sz w:val="32"/>
          <w:szCs w:val="32"/>
          <w:lang w:eastAsia="zh-CN"/>
        </w:rPr>
        <w:lastRenderedPageBreak/>
        <w:t>付审批手续齐全，无挤占、挪用等违规情形，预算执行率</w:t>
      </w:r>
      <w:r>
        <w:rPr>
          <w:rFonts w:ascii="Times New Roman" w:eastAsia="方正仿宋_GBK" w:hAnsi="Times New Roman" w:cs="Times New Roman"/>
          <w:spacing w:val="-4"/>
          <w:sz w:val="32"/>
          <w:szCs w:val="32"/>
          <w:lang w:eastAsia="zh-CN"/>
        </w:rPr>
        <w:t>100%</w:t>
      </w:r>
      <w:r>
        <w:rPr>
          <w:rFonts w:ascii="Times New Roman" w:eastAsia="方正仿宋_GBK" w:hAnsi="Times New Roman" w:cs="Times New Roman"/>
          <w:spacing w:val="-4"/>
          <w:sz w:val="32"/>
          <w:szCs w:val="32"/>
          <w:lang w:eastAsia="zh-CN"/>
        </w:rPr>
        <w:t>，资金使用合规性得到充分保障。组织实施方面，项目严格遵循土地储备法定程序，从地块评估、方案制定、政府决策到协议签订、价款支付、权属变更，各环节衔接有序，手续完备，实施过程规范高效。目标达成方面，已按年度计划顺利完成目标地块（</w:t>
      </w:r>
      <w:r>
        <w:rPr>
          <w:rFonts w:ascii="Times New Roman" w:eastAsia="方正仿宋_GBK" w:hAnsi="Times New Roman" w:cs="Times New Roman"/>
          <w:spacing w:val="-4"/>
          <w:sz w:val="32"/>
          <w:szCs w:val="32"/>
          <w:lang w:eastAsia="zh-CN"/>
        </w:rPr>
        <w:t>6.91832</w:t>
      </w:r>
      <w:r>
        <w:rPr>
          <w:rFonts w:ascii="Times New Roman" w:eastAsia="方正仿宋_GBK" w:hAnsi="Times New Roman" w:cs="Times New Roman"/>
          <w:spacing w:val="-4"/>
          <w:sz w:val="32"/>
          <w:szCs w:val="32"/>
          <w:lang w:eastAsia="zh-CN"/>
        </w:rPr>
        <w:t>公顷）的收购、价款支付及国有建设用地使用权收回（收购）并登记至储备机构名下，形成了产权清晰的储备土地，年度产出目标全面达成。</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方正黑体_GBK" w:eastAsia="方正黑体_GBK" w:hAnsi="方正黑体_GBK" w:cs="方正黑体_GBK" w:hint="eastAsia"/>
          <w:spacing w:val="-4"/>
          <w:sz w:val="32"/>
          <w:szCs w:val="32"/>
          <w:lang w:eastAsia="zh-CN"/>
        </w:rPr>
        <w:t>四、存在问题</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项目整体推进顺利，绩效表现良好</w:t>
      </w:r>
      <w:r>
        <w:rPr>
          <w:rFonts w:ascii="Times New Roman" w:eastAsia="方正仿宋_GBK" w:hAnsi="Times New Roman" w:cs="Times New Roman"/>
          <w:spacing w:val="-4"/>
          <w:sz w:val="32"/>
          <w:szCs w:val="32"/>
          <w:lang w:eastAsia="zh-CN"/>
        </w:rPr>
        <w:t>。但在全过程精细化成本管控方面仍有提升空间，特别是在收储谈判、资产评估等前期环节的成本优化潜力挖掘可以进一步加强，以更有效地控制整体收储成本，提升项目净收益。</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方正黑体_GBK" w:eastAsia="方正黑体_GBK" w:hAnsi="方正黑体_GBK" w:cs="方正黑体_GBK"/>
          <w:spacing w:val="-4"/>
          <w:sz w:val="32"/>
          <w:szCs w:val="32"/>
          <w:lang w:eastAsia="zh-CN"/>
        </w:rPr>
        <w:t>五、有关建议</w:t>
      </w:r>
    </w:p>
    <w:p w:rsidR="00A45902" w:rsidRDefault="008A6298" w:rsidP="004A776D">
      <w:pPr>
        <w:spacing w:line="574" w:lineRule="exact"/>
        <w:ind w:firstLineChars="200" w:firstLine="632"/>
        <w:jc w:val="both"/>
        <w:rPr>
          <w:rFonts w:ascii="Times New Roman" w:eastAsia="方正仿宋_GBK" w:hAnsi="Times New Roman" w:cs="Times New Roman"/>
          <w:spacing w:val="-4"/>
          <w:sz w:val="32"/>
          <w:szCs w:val="32"/>
          <w:lang w:eastAsia="zh-CN"/>
        </w:rPr>
      </w:pPr>
      <w:r>
        <w:rPr>
          <w:rFonts w:ascii="Times New Roman" w:eastAsia="方正仿宋_GBK" w:hAnsi="Times New Roman" w:cs="Times New Roman"/>
          <w:spacing w:val="-4"/>
          <w:sz w:val="32"/>
          <w:szCs w:val="32"/>
          <w:lang w:eastAsia="zh-CN"/>
        </w:rPr>
        <w:t>在后续类似项目中，进一步强化全生命周期成本管控意识。在收储前期，深化市场调研与资产价值分析，优化谈判策略；在实施过程中，加强过程审计与监督，确保每一笔支出</w:t>
      </w:r>
      <w:r w:rsidR="004A776D">
        <w:rPr>
          <w:rFonts w:ascii="Times New Roman" w:eastAsia="方正仿宋_GBK" w:hAnsi="Times New Roman" w:cs="Times New Roman" w:hint="eastAsia"/>
          <w:spacing w:val="-4"/>
          <w:sz w:val="32"/>
          <w:szCs w:val="32"/>
          <w:lang w:eastAsia="zh-CN"/>
        </w:rPr>
        <w:t>的</w:t>
      </w:r>
      <w:r>
        <w:rPr>
          <w:rFonts w:ascii="Times New Roman" w:eastAsia="方正仿宋_GBK" w:hAnsi="Times New Roman" w:cs="Times New Roman"/>
          <w:spacing w:val="-4"/>
          <w:sz w:val="32"/>
          <w:szCs w:val="32"/>
          <w:lang w:eastAsia="zh-CN"/>
        </w:rPr>
        <w:t>合理</w:t>
      </w:r>
      <w:r w:rsidR="004A776D">
        <w:rPr>
          <w:rFonts w:ascii="Times New Roman" w:eastAsia="方正仿宋_GBK" w:hAnsi="Times New Roman" w:cs="Times New Roman" w:hint="eastAsia"/>
          <w:spacing w:val="-4"/>
          <w:sz w:val="32"/>
          <w:szCs w:val="32"/>
          <w:lang w:eastAsia="zh-CN"/>
        </w:rPr>
        <w:t>性与</w:t>
      </w:r>
      <w:r>
        <w:rPr>
          <w:rFonts w:ascii="Times New Roman" w:eastAsia="方正仿宋_GBK" w:hAnsi="Times New Roman" w:cs="Times New Roman"/>
          <w:spacing w:val="-4"/>
          <w:sz w:val="32"/>
          <w:szCs w:val="32"/>
          <w:lang w:eastAsia="zh-CN"/>
        </w:rPr>
        <w:t>必要</w:t>
      </w:r>
      <w:r w:rsidR="004A776D">
        <w:rPr>
          <w:rFonts w:ascii="Times New Roman" w:eastAsia="方正仿宋_GBK" w:hAnsi="Times New Roman" w:cs="Times New Roman" w:hint="eastAsia"/>
          <w:spacing w:val="-4"/>
          <w:sz w:val="32"/>
          <w:szCs w:val="32"/>
          <w:lang w:eastAsia="zh-CN"/>
        </w:rPr>
        <w:t>性</w:t>
      </w:r>
      <w:r>
        <w:rPr>
          <w:rFonts w:ascii="Times New Roman" w:eastAsia="方正仿宋_GBK" w:hAnsi="Times New Roman" w:cs="Times New Roman"/>
          <w:spacing w:val="-4"/>
          <w:sz w:val="32"/>
          <w:szCs w:val="32"/>
          <w:lang w:eastAsia="zh-CN"/>
        </w:rPr>
        <w:t>，从而在保障项目顺利实施的同时，最大化提升资金使用效益与项目经济回报。</w:t>
      </w:r>
    </w:p>
    <w:p w:rsidR="00A45902" w:rsidRDefault="008A6298">
      <w:pPr>
        <w:spacing w:line="574" w:lineRule="exact"/>
        <w:ind w:firstLineChars="200" w:firstLine="640"/>
        <w:jc w:val="both"/>
        <w:rPr>
          <w:rFonts w:ascii="Times New Roman" w:eastAsia="方正仿宋_GBK" w:hAnsi="Times New Roman" w:cs="Times New Roman"/>
          <w:sz w:val="32"/>
          <w:szCs w:val="32"/>
          <w:lang w:eastAsia="zh-CN"/>
        </w:rPr>
      </w:pPr>
      <w:r>
        <w:rPr>
          <w:rFonts w:ascii="Times New Roman" w:eastAsia="黑体" w:hAnsi="Times New Roman" w:cs="Times New Roman"/>
          <w:sz w:val="32"/>
          <w:szCs w:val="32"/>
          <w:lang w:eastAsia="zh-CN"/>
        </w:rPr>
        <w:t>六、相关信息。</w:t>
      </w:r>
      <w:r>
        <w:rPr>
          <w:rFonts w:ascii="Times New Roman" w:eastAsia="方正仿宋_GBK" w:hAnsi="Times New Roman" w:cs="Times New Roman"/>
          <w:spacing w:val="-4"/>
          <w:sz w:val="32"/>
          <w:szCs w:val="32"/>
          <w:lang w:eastAsia="zh-CN"/>
        </w:rPr>
        <w:t>绩效评价评分表、评价指标分析、社会测评</w:t>
      </w:r>
      <w:r>
        <w:rPr>
          <w:rFonts w:ascii="Times New Roman" w:eastAsia="方正仿宋_GBK" w:hAnsi="Times New Roman" w:cs="Times New Roman"/>
          <w:sz w:val="32"/>
          <w:szCs w:val="32"/>
          <w:lang w:eastAsia="zh-CN"/>
        </w:rPr>
        <w:t>问卷以及其他相关信息，以评价报告附件的形式反映。</w:t>
      </w:r>
    </w:p>
    <w:p w:rsidR="00A45902" w:rsidRDefault="00A45902">
      <w:pPr>
        <w:spacing w:line="574" w:lineRule="exact"/>
        <w:jc w:val="both"/>
        <w:rPr>
          <w:rFonts w:ascii="Times New Roman" w:eastAsia="黑体" w:hAnsi="Times New Roman" w:cs="黑体"/>
          <w:spacing w:val="-4"/>
          <w:sz w:val="30"/>
          <w:szCs w:val="30"/>
          <w:lang w:eastAsia="zh-CN"/>
        </w:rPr>
      </w:pPr>
    </w:p>
    <w:p w:rsidR="00A45902" w:rsidRDefault="008A6298">
      <w:pPr>
        <w:spacing w:line="574" w:lineRule="exact"/>
        <w:jc w:val="center"/>
        <w:rPr>
          <w:rFonts w:ascii="Times New Roman" w:eastAsia="方正仿宋_GBK" w:hAnsi="Times New Roman" w:cs="Times New Roman"/>
          <w:sz w:val="32"/>
          <w:szCs w:val="32"/>
          <w:lang w:eastAsia="zh-CN"/>
        </w:rPr>
      </w:pPr>
      <w:r>
        <w:rPr>
          <w:rFonts w:ascii="Times New Roman" w:eastAsia="黑体" w:hAnsi="Times New Roman" w:cs="黑体" w:hint="eastAsia"/>
          <w:spacing w:val="-4"/>
          <w:sz w:val="30"/>
          <w:szCs w:val="30"/>
          <w:lang w:eastAsia="zh-CN"/>
        </w:rPr>
        <w:lastRenderedPageBreak/>
        <w:t>无锡市惠山区水澄路与天锦路交叉口西北侧地块土地储备专项债项目</w:t>
      </w:r>
      <w:r>
        <w:rPr>
          <w:rFonts w:ascii="Times New Roman" w:eastAsia="黑体" w:hAnsi="Times New Roman" w:cs="黑体" w:hint="eastAsia"/>
          <w:spacing w:val="-4"/>
          <w:sz w:val="30"/>
          <w:szCs w:val="30"/>
          <w:lang w:eastAsia="zh-CN"/>
        </w:rPr>
        <w:t>2025</w:t>
      </w:r>
      <w:r>
        <w:rPr>
          <w:rFonts w:ascii="Times New Roman" w:eastAsia="黑体" w:hAnsi="Times New Roman" w:cs="黑体" w:hint="eastAsia"/>
          <w:spacing w:val="-4"/>
          <w:sz w:val="30"/>
          <w:szCs w:val="30"/>
          <w:lang w:eastAsia="zh-CN"/>
        </w:rPr>
        <w:t>年度绩效评价评分表</w:t>
      </w:r>
    </w:p>
    <w:tbl>
      <w:tblPr>
        <w:tblpPr w:leftFromText="180" w:rightFromText="180" w:vertAnchor="text" w:horzAnchor="page" w:tblpX="1982" w:tblpY="151"/>
        <w:tblOverlap w:val="never"/>
        <w:tblW w:w="8190" w:type="dxa"/>
        <w:tblLook w:val="04A0"/>
      </w:tblPr>
      <w:tblGrid>
        <w:gridCol w:w="1740"/>
        <w:gridCol w:w="1335"/>
        <w:gridCol w:w="2115"/>
        <w:gridCol w:w="1275"/>
        <w:gridCol w:w="1725"/>
      </w:tblGrid>
      <w:tr w:rsidR="00A45902">
        <w:trPr>
          <w:trHeight w:val="620"/>
        </w:trPr>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Style w:val="font21"/>
                <w:rFonts w:hint="default"/>
                <w:lang w:eastAsia="zh-CN"/>
              </w:rPr>
            </w:pPr>
            <w:r>
              <w:rPr>
                <w:rFonts w:ascii="宋体" w:eastAsia="宋体" w:hAnsi="宋体" w:cs="宋体" w:hint="eastAsia"/>
                <w:color w:val="000000"/>
                <w:lang w:eastAsia="zh-CN"/>
              </w:rPr>
              <w:t>一级指标</w:t>
            </w: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Style w:val="font21"/>
                <w:rFonts w:hint="default"/>
                <w:lang w:eastAsia="zh-CN"/>
              </w:rPr>
            </w:pPr>
            <w:r>
              <w:rPr>
                <w:rStyle w:val="font21"/>
                <w:lang w:eastAsia="zh-CN"/>
              </w:rPr>
              <w:t>二级指标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lang w:eastAsia="zh-CN"/>
              </w:rPr>
            </w:pPr>
            <w:r>
              <w:rPr>
                <w:rFonts w:ascii="宋体" w:eastAsia="宋体" w:hAnsi="宋体" w:cs="宋体" w:hint="eastAsia"/>
                <w:color w:val="000000"/>
                <w:lang w:eastAsia="zh-CN"/>
              </w:rPr>
              <w:t>三级指标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both"/>
              <w:textAlignment w:val="center"/>
              <w:rPr>
                <w:rFonts w:ascii="宋体" w:eastAsia="宋体" w:hAnsi="宋体" w:cs="宋体"/>
                <w:color w:val="000000"/>
                <w:lang w:eastAsia="zh-CN"/>
              </w:rPr>
            </w:pPr>
            <w:r>
              <w:rPr>
                <w:rFonts w:ascii="宋体" w:eastAsia="宋体" w:hAnsi="宋体" w:cs="宋体" w:hint="eastAsia"/>
                <w:color w:val="000000"/>
                <w:lang w:eastAsia="zh-CN"/>
              </w:rPr>
              <w:t>目标值</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both"/>
              <w:textAlignment w:val="center"/>
              <w:rPr>
                <w:rFonts w:ascii="宋体" w:eastAsia="宋体" w:hAnsi="宋体" w:cs="宋体"/>
                <w:color w:val="000000"/>
                <w:lang w:eastAsia="zh-CN"/>
              </w:rPr>
            </w:pPr>
            <w:r>
              <w:rPr>
                <w:rFonts w:ascii="宋体" w:eastAsia="宋体" w:hAnsi="宋体" w:cs="宋体" w:hint="eastAsia"/>
                <w:color w:val="000000"/>
                <w:lang w:eastAsia="zh-CN"/>
              </w:rPr>
              <w:t>完成值</w:t>
            </w:r>
          </w:p>
        </w:tc>
      </w:tr>
      <w:tr w:rsidR="00A45902">
        <w:trPr>
          <w:trHeight w:val="620"/>
        </w:trPr>
        <w:tc>
          <w:tcPr>
            <w:tcW w:w="17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过程</w:t>
            </w: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资金管理</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Fonts w:ascii="宋体" w:eastAsia="宋体" w:hAnsi="宋体" w:cs="宋体" w:hint="eastAsia"/>
                <w:color w:val="000000"/>
                <w:lang w:eastAsia="zh-CN"/>
              </w:rPr>
              <w:t>1</w:t>
            </w:r>
            <w:r>
              <w:rPr>
                <w:rFonts w:ascii="宋体" w:eastAsia="宋体" w:hAnsi="宋体" w:cs="宋体" w:hint="eastAsia"/>
                <w:color w:val="000000"/>
                <w:lang w:eastAsia="zh-CN"/>
              </w:rPr>
              <w:t>：资金到位率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Fonts w:ascii="宋体" w:eastAsia="宋体" w:hAnsi="宋体" w:cs="宋体" w:hint="eastAsia"/>
                <w:color w:val="000000"/>
                <w:lang w:eastAsia="zh-CN"/>
              </w:rPr>
              <w:t>2</w:t>
            </w:r>
            <w:r>
              <w:rPr>
                <w:rFonts w:ascii="宋体" w:eastAsia="宋体" w:hAnsi="宋体" w:cs="宋体" w:hint="eastAsia"/>
                <w:color w:val="000000"/>
                <w:lang w:eastAsia="zh-CN"/>
              </w:rPr>
              <w:t>：预算执行率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Fonts w:ascii="宋体" w:eastAsia="宋体" w:hAnsi="宋体" w:cs="宋体" w:hint="eastAsia"/>
                <w:color w:val="000000"/>
                <w:lang w:eastAsia="zh-CN"/>
              </w:rPr>
              <w:t>3</w:t>
            </w:r>
            <w:r>
              <w:rPr>
                <w:rFonts w:ascii="宋体" w:eastAsia="宋体" w:hAnsi="宋体" w:cs="宋体" w:hint="eastAsia"/>
                <w:color w:val="000000"/>
                <w:lang w:eastAsia="zh-CN"/>
              </w:rPr>
              <w:t>：资金使用合规性</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合规</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合规</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组织实施</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指标</w:t>
            </w:r>
            <w:r>
              <w:rPr>
                <w:rFonts w:ascii="Times New Roman" w:eastAsia="宋体" w:hAnsi="Times New Roman" w:cs="Times New Roman"/>
                <w:color w:val="000000"/>
                <w:lang w:eastAsia="zh-CN"/>
              </w:rPr>
              <w:t>1</w:t>
            </w:r>
            <w:r>
              <w:rPr>
                <w:rFonts w:ascii="Times New Roman" w:eastAsia="宋体" w:hAnsi="Times New Roman" w:cs="Times New Roman"/>
                <w:color w:val="000000"/>
                <w:lang w:eastAsia="zh-CN"/>
              </w:rPr>
              <w:t>：</w:t>
            </w:r>
            <w:r>
              <w:rPr>
                <w:rFonts w:ascii="Times New Roman" w:eastAsia="宋体" w:hAnsi="Times New Roman" w:cs="Times New Roman"/>
                <w:color w:val="000000"/>
                <w:lang w:eastAsia="zh-CN"/>
              </w:rPr>
              <w:t xml:space="preserve"> </w:t>
            </w:r>
            <w:r>
              <w:rPr>
                <w:rFonts w:ascii="Times New Roman" w:eastAsia="宋体" w:hAnsi="Times New Roman" w:cs="Times New Roman"/>
                <w:color w:val="000000"/>
                <w:lang w:eastAsia="zh-CN"/>
              </w:rPr>
              <w:t>手续完备性</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完备</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完备</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Fonts w:ascii="宋体" w:eastAsia="宋体" w:hAnsi="宋体" w:cs="宋体" w:hint="eastAsia"/>
                <w:color w:val="000000"/>
                <w:lang w:eastAsia="zh-CN"/>
              </w:rPr>
              <w:t>2</w:t>
            </w:r>
            <w:r>
              <w:rPr>
                <w:rFonts w:ascii="宋体" w:eastAsia="宋体" w:hAnsi="宋体" w:cs="宋体" w:hint="eastAsia"/>
                <w:color w:val="000000"/>
                <w:lang w:eastAsia="zh-CN"/>
              </w:rPr>
              <w:t>：实施进度符合率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620"/>
        </w:trPr>
        <w:tc>
          <w:tcPr>
            <w:tcW w:w="17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产出</w:t>
            </w: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数量指标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Style w:val="font41"/>
                <w:rFonts w:eastAsia="宋体"/>
                <w:lang w:eastAsia="zh-CN"/>
              </w:rPr>
              <w:t>1</w:t>
            </w:r>
            <w:r>
              <w:rPr>
                <w:rStyle w:val="font21"/>
                <w:rFonts w:hint="default"/>
                <w:lang w:eastAsia="zh-CN"/>
              </w:rPr>
              <w:t>：土地收储完成率</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质量指标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指标</w:t>
            </w:r>
            <w:r>
              <w:rPr>
                <w:rFonts w:ascii="Times New Roman" w:eastAsia="宋体" w:hAnsi="Times New Roman" w:cs="Times New Roman"/>
                <w:color w:val="000000"/>
                <w:lang w:eastAsia="zh-CN"/>
              </w:rPr>
              <w:t>1</w:t>
            </w:r>
            <w:r>
              <w:rPr>
                <w:rFonts w:ascii="Times New Roman" w:eastAsia="宋体" w:hAnsi="Times New Roman" w:cs="Times New Roman"/>
                <w:color w:val="000000"/>
                <w:lang w:eastAsia="zh-CN"/>
              </w:rPr>
              <w:t>：净地交付标准达成率</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时效指标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指标</w:t>
            </w:r>
            <w:r>
              <w:rPr>
                <w:rFonts w:ascii="Times New Roman" w:eastAsia="宋体" w:hAnsi="Times New Roman" w:cs="Times New Roman"/>
                <w:color w:val="000000"/>
                <w:lang w:eastAsia="zh-CN"/>
              </w:rPr>
              <w:t>1</w:t>
            </w:r>
            <w:r>
              <w:rPr>
                <w:rFonts w:ascii="Times New Roman" w:eastAsia="宋体" w:hAnsi="Times New Roman" w:cs="Times New Roman"/>
                <w:color w:val="000000"/>
                <w:lang w:eastAsia="zh-CN"/>
              </w:rPr>
              <w:t>：</w:t>
            </w:r>
            <w:r>
              <w:rPr>
                <w:rFonts w:ascii="Times New Roman" w:eastAsia="宋体" w:hAnsi="Times New Roman" w:cs="Times New Roman"/>
                <w:color w:val="000000"/>
                <w:lang w:eastAsia="zh-CN"/>
              </w:rPr>
              <w:t xml:space="preserve"> </w:t>
            </w:r>
            <w:r>
              <w:rPr>
                <w:rFonts w:ascii="Times New Roman" w:eastAsia="宋体" w:hAnsi="Times New Roman" w:cs="Times New Roman"/>
                <w:color w:val="000000"/>
                <w:lang w:eastAsia="zh-CN"/>
              </w:rPr>
              <w:t>收储工作完成及时性</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及时</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及时</w:t>
            </w:r>
          </w:p>
        </w:tc>
      </w:tr>
      <w:tr w:rsidR="00A45902">
        <w:trPr>
          <w:trHeight w:val="620"/>
        </w:trPr>
        <w:tc>
          <w:tcPr>
            <w:tcW w:w="17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成本指标</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指标</w:t>
            </w:r>
            <w:r>
              <w:rPr>
                <w:rFonts w:ascii="Times New Roman" w:eastAsia="宋体" w:hAnsi="Times New Roman" w:cs="Times New Roman"/>
                <w:color w:val="000000"/>
                <w:lang w:eastAsia="zh-CN"/>
              </w:rPr>
              <w:t>1</w:t>
            </w:r>
            <w:r>
              <w:rPr>
                <w:rFonts w:ascii="Times New Roman" w:eastAsia="宋体" w:hAnsi="Times New Roman" w:cs="Times New Roman"/>
                <w:color w:val="000000"/>
                <w:lang w:eastAsia="zh-CN"/>
              </w:rPr>
              <w:t>：收储成本控制率</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620"/>
        </w:trPr>
        <w:tc>
          <w:tcPr>
            <w:tcW w:w="1740" w:type="dxa"/>
            <w:vMerge w:val="restart"/>
            <w:tcBorders>
              <w:top w:val="single" w:sz="4" w:space="0" w:color="000000"/>
              <w:left w:val="single" w:sz="4" w:space="0" w:color="000000"/>
              <w:bottom w:val="nil"/>
              <w:right w:val="nil"/>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效益</w:t>
            </w:r>
          </w:p>
        </w:tc>
        <w:tc>
          <w:tcPr>
            <w:tcW w:w="13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经济效益</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Style w:val="font41"/>
                <w:rFonts w:eastAsia="宋体"/>
                <w:lang w:eastAsia="zh-CN"/>
              </w:rPr>
              <w:t>1</w:t>
            </w:r>
            <w:r>
              <w:rPr>
                <w:rStyle w:val="font21"/>
                <w:rFonts w:hint="default"/>
                <w:lang w:eastAsia="zh-CN"/>
              </w:rPr>
              <w:t>：预期收益覆盖倍数</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≥1.2</w:t>
            </w:r>
            <w:r>
              <w:rPr>
                <w:rStyle w:val="font61"/>
                <w:rFonts w:hint="default"/>
                <w:lang w:eastAsia="zh-CN"/>
              </w:rPr>
              <w:t>倍</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≥1.2</w:t>
            </w:r>
            <w:r>
              <w:rPr>
                <w:rStyle w:val="font61"/>
                <w:rFonts w:hint="default"/>
                <w:lang w:eastAsia="zh-CN"/>
              </w:rPr>
              <w:t>倍</w:t>
            </w:r>
          </w:p>
        </w:tc>
      </w:tr>
      <w:tr w:rsidR="00A45902">
        <w:trPr>
          <w:trHeight w:val="620"/>
        </w:trPr>
        <w:tc>
          <w:tcPr>
            <w:tcW w:w="1740" w:type="dxa"/>
            <w:vMerge/>
            <w:tcBorders>
              <w:top w:val="single" w:sz="4" w:space="0" w:color="000000"/>
              <w:left w:val="single" w:sz="4" w:space="0" w:color="000000"/>
              <w:bottom w:val="nil"/>
              <w:right w:val="nil"/>
            </w:tcBorders>
            <w:shd w:val="clear" w:color="auto" w:fill="auto"/>
            <w:vAlign w:val="center"/>
          </w:tcPr>
          <w:p w:rsidR="00A45902" w:rsidRDefault="00A45902">
            <w:pPr>
              <w:jc w:val="center"/>
              <w:rPr>
                <w:rFonts w:ascii="宋体" w:eastAsia="宋体" w:hAnsi="宋体" w:cs="宋体"/>
                <w:color w:val="000000"/>
              </w:rPr>
            </w:pPr>
          </w:p>
        </w:tc>
        <w:tc>
          <w:tcPr>
            <w:tcW w:w="13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A45902">
            <w:pPr>
              <w:jc w:val="center"/>
              <w:rPr>
                <w:rFonts w:ascii="Times New Roman" w:eastAsia="宋体" w:hAnsi="Times New Roman" w:cs="Times New Roman"/>
                <w:color w:val="000000"/>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Style w:val="font41"/>
                <w:rFonts w:eastAsia="宋体"/>
                <w:lang w:eastAsia="zh-CN"/>
              </w:rPr>
              <w:t>2</w:t>
            </w:r>
            <w:r>
              <w:rPr>
                <w:rStyle w:val="font21"/>
                <w:rFonts w:hint="default"/>
                <w:lang w:eastAsia="zh-CN"/>
              </w:rPr>
              <w:t>：</w:t>
            </w:r>
            <w:r>
              <w:rPr>
                <w:rStyle w:val="font41"/>
                <w:rFonts w:eastAsia="宋体"/>
                <w:lang w:eastAsia="zh-CN"/>
              </w:rPr>
              <w:t xml:space="preserve"> </w:t>
            </w:r>
            <w:r>
              <w:rPr>
                <w:rStyle w:val="font21"/>
                <w:rFonts w:hint="default"/>
                <w:lang w:eastAsia="zh-CN"/>
              </w:rPr>
              <w:t>资金成本节约效益</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显著</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显著</w:t>
            </w:r>
          </w:p>
        </w:tc>
      </w:tr>
      <w:tr w:rsidR="00A45902">
        <w:trPr>
          <w:trHeight w:val="620"/>
        </w:trPr>
        <w:tc>
          <w:tcPr>
            <w:tcW w:w="1740" w:type="dxa"/>
            <w:vMerge/>
            <w:tcBorders>
              <w:top w:val="single" w:sz="4" w:space="0" w:color="000000"/>
              <w:left w:val="single" w:sz="4" w:space="0" w:color="000000"/>
              <w:bottom w:val="nil"/>
              <w:right w:val="nil"/>
            </w:tcBorders>
            <w:shd w:val="clear" w:color="auto" w:fill="auto"/>
            <w:vAlign w:val="center"/>
          </w:tcPr>
          <w:p w:rsidR="00A45902" w:rsidRDefault="00A45902">
            <w:pPr>
              <w:jc w:val="center"/>
              <w:rPr>
                <w:rFonts w:ascii="宋体" w:eastAsia="宋体" w:hAnsi="宋体" w:cs="宋体"/>
                <w:color w:val="00000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社会效益</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Style w:val="font41"/>
                <w:rFonts w:eastAsia="宋体"/>
                <w:lang w:eastAsia="zh-CN"/>
              </w:rPr>
              <w:t>1</w:t>
            </w:r>
            <w:r>
              <w:rPr>
                <w:rStyle w:val="font21"/>
                <w:rFonts w:hint="default"/>
                <w:lang w:eastAsia="zh-CN"/>
              </w:rPr>
              <w:t>：存量土地盘活成效</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显著</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显著</w:t>
            </w:r>
          </w:p>
        </w:tc>
      </w:tr>
      <w:tr w:rsidR="00A45902">
        <w:trPr>
          <w:trHeight w:val="620"/>
        </w:trPr>
        <w:tc>
          <w:tcPr>
            <w:tcW w:w="1740" w:type="dxa"/>
            <w:vMerge/>
            <w:tcBorders>
              <w:top w:val="single" w:sz="4" w:space="0" w:color="000000"/>
              <w:left w:val="single" w:sz="4" w:space="0" w:color="000000"/>
              <w:bottom w:val="nil"/>
              <w:right w:val="nil"/>
            </w:tcBorders>
            <w:shd w:val="clear" w:color="auto" w:fill="auto"/>
            <w:vAlign w:val="center"/>
          </w:tcPr>
          <w:p w:rsidR="00A45902" w:rsidRDefault="00A45902">
            <w:pPr>
              <w:jc w:val="center"/>
              <w:rPr>
                <w:rFonts w:ascii="宋体" w:eastAsia="宋体" w:hAnsi="宋体" w:cs="宋体"/>
                <w:color w:val="00000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生态效益</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Style w:val="font41"/>
                <w:rFonts w:eastAsia="宋体"/>
                <w:lang w:eastAsia="zh-CN"/>
              </w:rPr>
              <w:t>1</w:t>
            </w:r>
            <w:r>
              <w:rPr>
                <w:rStyle w:val="font21"/>
                <w:rFonts w:hint="default"/>
                <w:lang w:eastAsia="zh-CN"/>
              </w:rPr>
              <w:t>：地块复绿比率</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Fonts w:ascii="Times New Roman" w:eastAsia="宋体" w:hAnsi="Times New Roman" w:cs="Times New Roman"/>
                <w:color w:val="000000"/>
                <w:lang w:eastAsia="zh-CN"/>
              </w:rPr>
              <w:t>100%</w:t>
            </w:r>
          </w:p>
        </w:tc>
      </w:tr>
      <w:tr w:rsidR="00A45902">
        <w:trPr>
          <w:trHeight w:val="880"/>
        </w:trPr>
        <w:tc>
          <w:tcPr>
            <w:tcW w:w="1740" w:type="dxa"/>
            <w:vMerge/>
            <w:tcBorders>
              <w:top w:val="single" w:sz="4" w:space="0" w:color="000000"/>
              <w:left w:val="single" w:sz="4" w:space="0" w:color="000000"/>
              <w:bottom w:val="nil"/>
              <w:right w:val="nil"/>
            </w:tcBorders>
            <w:shd w:val="clear" w:color="auto" w:fill="auto"/>
            <w:vAlign w:val="center"/>
          </w:tcPr>
          <w:p w:rsidR="00A45902" w:rsidRDefault="00A45902">
            <w:pPr>
              <w:jc w:val="center"/>
              <w:rPr>
                <w:rFonts w:ascii="宋体" w:eastAsia="宋体" w:hAnsi="宋体" w:cs="宋体"/>
                <w:color w:val="00000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Times New Roman" w:eastAsia="宋体" w:hAnsi="Times New Roman" w:cs="Times New Roman"/>
                <w:color w:val="000000"/>
              </w:rPr>
            </w:pPr>
            <w:r>
              <w:rPr>
                <w:rStyle w:val="font21"/>
                <w:rFonts w:hint="default"/>
                <w:lang w:eastAsia="zh-CN"/>
              </w:rPr>
              <w:t>可持续影响</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rPr>
            </w:pPr>
            <w:r>
              <w:rPr>
                <w:rFonts w:ascii="宋体" w:eastAsia="宋体" w:hAnsi="宋体" w:cs="宋体" w:hint="eastAsia"/>
                <w:color w:val="000000"/>
                <w:lang w:eastAsia="zh-CN"/>
              </w:rPr>
              <w:t>指标</w:t>
            </w:r>
            <w:r>
              <w:rPr>
                <w:rStyle w:val="font41"/>
                <w:rFonts w:eastAsia="宋体"/>
                <w:lang w:eastAsia="zh-CN"/>
              </w:rPr>
              <w:t>1</w:t>
            </w:r>
            <w:r>
              <w:rPr>
                <w:rStyle w:val="font21"/>
                <w:rFonts w:hint="default"/>
                <w:lang w:eastAsia="zh-CN"/>
              </w:rPr>
              <w:t>：优化城市土地供应结构，提高土地利用效率</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较好</w:t>
            </w:r>
          </w:p>
        </w:tc>
        <w:tc>
          <w:tcPr>
            <w:tcW w:w="1725" w:type="dxa"/>
            <w:tcBorders>
              <w:top w:val="single" w:sz="4" w:space="0" w:color="000000"/>
              <w:left w:val="nil"/>
              <w:bottom w:val="single" w:sz="4" w:space="0" w:color="000000"/>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rPr>
            </w:pPr>
            <w:r>
              <w:rPr>
                <w:rFonts w:ascii="宋体" w:eastAsia="宋体" w:hAnsi="宋体" w:cs="宋体" w:hint="eastAsia"/>
                <w:color w:val="000000"/>
                <w:lang w:eastAsia="zh-CN"/>
              </w:rPr>
              <w:t>较好</w:t>
            </w:r>
          </w:p>
        </w:tc>
      </w:tr>
      <w:tr w:rsidR="00A45902">
        <w:trPr>
          <w:trHeight w:val="880"/>
        </w:trPr>
        <w:tc>
          <w:tcPr>
            <w:tcW w:w="1740" w:type="dxa"/>
            <w:tcBorders>
              <w:top w:val="single" w:sz="4" w:space="0" w:color="000000"/>
              <w:left w:val="single" w:sz="4" w:space="0" w:color="000000"/>
              <w:bottom w:val="single" w:sz="4" w:space="0" w:color="auto"/>
              <w:right w:val="nil"/>
            </w:tcBorders>
            <w:shd w:val="clear" w:color="auto" w:fill="auto"/>
            <w:vAlign w:val="center"/>
          </w:tcPr>
          <w:p w:rsidR="00A45902" w:rsidRDefault="008A6298">
            <w:pPr>
              <w:jc w:val="center"/>
              <w:rPr>
                <w:rFonts w:ascii="宋体" w:eastAsia="宋体" w:hAnsi="宋体" w:cs="宋体"/>
                <w:color w:val="000000"/>
              </w:rPr>
            </w:pPr>
            <w:r>
              <w:rPr>
                <w:rStyle w:val="font21"/>
                <w:rFonts w:hint="default"/>
                <w:lang w:eastAsia="zh-CN"/>
              </w:rPr>
              <w:t>满意度</w:t>
            </w:r>
          </w:p>
        </w:tc>
        <w:tc>
          <w:tcPr>
            <w:tcW w:w="1335" w:type="dxa"/>
            <w:tcBorders>
              <w:top w:val="single" w:sz="4" w:space="0" w:color="000000"/>
              <w:left w:val="single" w:sz="4" w:space="0" w:color="000000"/>
              <w:bottom w:val="single" w:sz="4" w:space="0" w:color="auto"/>
              <w:right w:val="single" w:sz="4" w:space="0" w:color="000000"/>
            </w:tcBorders>
            <w:shd w:val="clear" w:color="auto" w:fill="auto"/>
            <w:vAlign w:val="center"/>
          </w:tcPr>
          <w:p w:rsidR="00A45902" w:rsidRDefault="008A6298">
            <w:pPr>
              <w:widowControl/>
              <w:jc w:val="center"/>
              <w:textAlignment w:val="center"/>
              <w:rPr>
                <w:rStyle w:val="font21"/>
                <w:rFonts w:hint="default"/>
                <w:lang w:eastAsia="zh-CN"/>
              </w:rPr>
            </w:pPr>
            <w:r>
              <w:rPr>
                <w:rStyle w:val="font21"/>
                <w:rFonts w:hint="default"/>
                <w:lang w:eastAsia="zh-CN"/>
              </w:rPr>
              <w:t>服务对象</w:t>
            </w:r>
            <w:r>
              <w:rPr>
                <w:rStyle w:val="font41"/>
                <w:rFonts w:eastAsia="宋体"/>
                <w:lang w:eastAsia="zh-CN"/>
              </w:rPr>
              <w:br/>
            </w:r>
            <w:r>
              <w:rPr>
                <w:rStyle w:val="font21"/>
                <w:rFonts w:hint="default"/>
                <w:lang w:eastAsia="zh-CN"/>
              </w:rPr>
              <w:t>满意度</w:t>
            </w:r>
          </w:p>
        </w:tc>
        <w:tc>
          <w:tcPr>
            <w:tcW w:w="2115" w:type="dxa"/>
            <w:tcBorders>
              <w:top w:val="single" w:sz="4" w:space="0" w:color="000000"/>
              <w:left w:val="single" w:sz="4" w:space="0" w:color="000000"/>
              <w:bottom w:val="single" w:sz="4" w:space="0" w:color="auto"/>
              <w:right w:val="single" w:sz="4" w:space="0" w:color="000000"/>
            </w:tcBorders>
            <w:shd w:val="clear" w:color="auto" w:fill="auto"/>
            <w:vAlign w:val="center"/>
          </w:tcPr>
          <w:p w:rsidR="00A45902" w:rsidRDefault="008A6298">
            <w:pPr>
              <w:widowControl/>
              <w:textAlignment w:val="center"/>
              <w:rPr>
                <w:rFonts w:ascii="宋体" w:eastAsia="宋体" w:hAnsi="宋体" w:cs="宋体"/>
                <w:color w:val="000000"/>
                <w:lang w:eastAsia="zh-CN"/>
              </w:rPr>
            </w:pPr>
            <w:r>
              <w:rPr>
                <w:rFonts w:ascii="宋体" w:eastAsia="宋体" w:hAnsi="宋体" w:cs="宋体" w:hint="eastAsia"/>
                <w:color w:val="000000"/>
                <w:lang w:eastAsia="zh-CN"/>
              </w:rPr>
              <w:t>指标</w:t>
            </w:r>
            <w:r>
              <w:rPr>
                <w:rStyle w:val="font41"/>
                <w:rFonts w:eastAsia="宋体"/>
                <w:lang w:eastAsia="zh-CN"/>
              </w:rPr>
              <w:t>1</w:t>
            </w:r>
            <w:r>
              <w:rPr>
                <w:rStyle w:val="font21"/>
                <w:rFonts w:hint="default"/>
                <w:lang w:eastAsia="zh-CN"/>
              </w:rPr>
              <w:t>：</w:t>
            </w:r>
            <w:r>
              <w:rPr>
                <w:rStyle w:val="font41"/>
                <w:rFonts w:eastAsia="宋体"/>
                <w:lang w:eastAsia="zh-CN"/>
              </w:rPr>
              <w:t xml:space="preserve"> </w:t>
            </w:r>
            <w:r>
              <w:rPr>
                <w:rStyle w:val="font21"/>
                <w:rFonts w:hint="default"/>
                <w:lang w:eastAsia="zh-CN"/>
              </w:rPr>
              <w:t>被收储企业满意度</w:t>
            </w:r>
          </w:p>
        </w:tc>
        <w:tc>
          <w:tcPr>
            <w:tcW w:w="1275" w:type="dxa"/>
            <w:tcBorders>
              <w:top w:val="single" w:sz="4" w:space="0" w:color="000000"/>
              <w:left w:val="nil"/>
              <w:bottom w:val="single" w:sz="4" w:space="0" w:color="auto"/>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lang w:eastAsia="zh-CN"/>
              </w:rPr>
            </w:pPr>
            <w:r>
              <w:rPr>
                <w:rFonts w:ascii="宋体" w:eastAsia="宋体" w:hAnsi="宋体" w:cs="宋体" w:hint="eastAsia"/>
                <w:color w:val="000000"/>
                <w:lang w:eastAsia="zh-CN"/>
              </w:rPr>
              <w:t>非常满意</w:t>
            </w:r>
          </w:p>
        </w:tc>
        <w:tc>
          <w:tcPr>
            <w:tcW w:w="1725" w:type="dxa"/>
            <w:tcBorders>
              <w:top w:val="single" w:sz="4" w:space="0" w:color="000000"/>
              <w:left w:val="nil"/>
              <w:bottom w:val="single" w:sz="4" w:space="0" w:color="auto"/>
              <w:right w:val="single" w:sz="4" w:space="0" w:color="000000"/>
            </w:tcBorders>
            <w:shd w:val="clear" w:color="auto" w:fill="auto"/>
            <w:vAlign w:val="center"/>
          </w:tcPr>
          <w:p w:rsidR="00A45902" w:rsidRDefault="008A6298">
            <w:pPr>
              <w:widowControl/>
              <w:jc w:val="center"/>
              <w:textAlignment w:val="center"/>
              <w:rPr>
                <w:rFonts w:ascii="宋体" w:eastAsia="宋体" w:hAnsi="宋体" w:cs="宋体"/>
                <w:color w:val="000000"/>
                <w:lang w:eastAsia="zh-CN"/>
              </w:rPr>
            </w:pPr>
            <w:r>
              <w:rPr>
                <w:rFonts w:ascii="宋体" w:eastAsia="宋体" w:hAnsi="宋体" w:cs="宋体" w:hint="eastAsia"/>
                <w:color w:val="000000"/>
                <w:lang w:eastAsia="zh-CN"/>
              </w:rPr>
              <w:t>非常满意</w:t>
            </w:r>
          </w:p>
        </w:tc>
      </w:tr>
    </w:tbl>
    <w:p w:rsidR="00A45902" w:rsidRDefault="00A45902">
      <w:pPr>
        <w:rPr>
          <w:sz w:val="32"/>
          <w:szCs w:val="32"/>
          <w:lang w:eastAsia="zh-CN"/>
        </w:rPr>
      </w:pPr>
    </w:p>
    <w:p w:rsidR="00A45902" w:rsidRDefault="00A45902">
      <w:pPr>
        <w:rPr>
          <w:sz w:val="32"/>
          <w:szCs w:val="32"/>
          <w:lang w:eastAsia="zh-CN"/>
        </w:rPr>
      </w:pPr>
    </w:p>
    <w:sectPr w:rsidR="00A45902" w:rsidSect="00A45902">
      <w:footerReference w:type="default" r:id="rId7"/>
      <w:type w:val="continuous"/>
      <w:pgSz w:w="11910" w:h="16840"/>
      <w:pgMar w:top="2098" w:right="1474" w:bottom="1984" w:left="158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298" w:rsidRDefault="008A6298" w:rsidP="00A45902">
      <w:r>
        <w:separator/>
      </w:r>
    </w:p>
  </w:endnote>
  <w:endnote w:type="continuationSeparator" w:id="0">
    <w:p w:rsidR="008A6298" w:rsidRDefault="008A6298" w:rsidP="00A459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902" w:rsidRDefault="00A45902">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filled="f" stroked="f" strokeweight=".5pt">
          <v:textbox style="mso-fit-shape-to-text:t" inset="0,0,0,0">
            <w:txbxContent>
              <w:p w:rsidR="00A45902" w:rsidRDefault="008A6298">
                <w:pPr>
                  <w:pStyle w:val="a4"/>
                </w:pPr>
                <w:r>
                  <w:t>—</w:t>
                </w:r>
                <w:r>
                  <w:rPr>
                    <w:rFonts w:ascii="Times New Roman" w:eastAsia="方正仿宋_GBK" w:hAnsi="Times New Roman" w:cs="Times New Roman"/>
                    <w:sz w:val="28"/>
                    <w:szCs w:val="28"/>
                  </w:rPr>
                  <w:t xml:space="preserve"> </w:t>
                </w:r>
                <w:r w:rsidR="00A45902">
                  <w:rPr>
                    <w:rFonts w:ascii="Times New Roman" w:eastAsia="方正仿宋_GBK" w:hAnsi="Times New Roman" w:cs="Times New Roman"/>
                    <w:sz w:val="28"/>
                    <w:szCs w:val="28"/>
                  </w:rPr>
                  <w:fldChar w:fldCharType="begin"/>
                </w:r>
                <w:r>
                  <w:rPr>
                    <w:rFonts w:ascii="Times New Roman" w:eastAsia="方正仿宋_GBK" w:hAnsi="Times New Roman" w:cs="Times New Roman"/>
                    <w:sz w:val="28"/>
                    <w:szCs w:val="28"/>
                  </w:rPr>
                  <w:instrText xml:space="preserve"> PAGE  \* MERGEFORMAT </w:instrText>
                </w:r>
                <w:r w:rsidR="00A45902">
                  <w:rPr>
                    <w:rFonts w:ascii="Times New Roman" w:eastAsia="方正仿宋_GBK" w:hAnsi="Times New Roman" w:cs="Times New Roman"/>
                    <w:sz w:val="28"/>
                    <w:szCs w:val="28"/>
                  </w:rPr>
                  <w:fldChar w:fldCharType="separate"/>
                </w:r>
                <w:r w:rsidR="004A776D">
                  <w:rPr>
                    <w:rFonts w:ascii="Times New Roman" w:eastAsia="方正仿宋_GBK" w:hAnsi="Times New Roman" w:cs="Times New Roman"/>
                    <w:noProof/>
                    <w:sz w:val="28"/>
                    <w:szCs w:val="28"/>
                  </w:rPr>
                  <w:t>5</w:t>
                </w:r>
                <w:r w:rsidR="00A45902">
                  <w:rPr>
                    <w:rFonts w:ascii="Times New Roman" w:eastAsia="方正仿宋_GBK" w:hAnsi="Times New Roman" w:cs="Times New Roman"/>
                    <w:sz w:val="28"/>
                    <w:szCs w:val="28"/>
                  </w:rPr>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298" w:rsidRDefault="008A6298" w:rsidP="00A45902">
      <w:r>
        <w:separator/>
      </w:r>
    </w:p>
  </w:footnote>
  <w:footnote w:type="continuationSeparator" w:id="0">
    <w:p w:rsidR="008A6298" w:rsidRDefault="008A6298" w:rsidP="00A459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doNotExpandShiftReturn/>
    <w:doNotWrapTextWithPunct/>
    <w:doNotUseEastAsianBreakRules/>
    <w:useFELayout/>
  </w:compat>
  <w:rsids>
    <w:rsidRoot w:val="006A0286"/>
    <w:rsid w:val="0000186F"/>
    <w:rsid w:val="00027842"/>
    <w:rsid w:val="000F0010"/>
    <w:rsid w:val="001076FD"/>
    <w:rsid w:val="00112A3C"/>
    <w:rsid w:val="0012335B"/>
    <w:rsid w:val="001D43CE"/>
    <w:rsid w:val="001E1F08"/>
    <w:rsid w:val="001F5652"/>
    <w:rsid w:val="002034C4"/>
    <w:rsid w:val="00223670"/>
    <w:rsid w:val="002F39B9"/>
    <w:rsid w:val="00317F35"/>
    <w:rsid w:val="003D4D43"/>
    <w:rsid w:val="00412A90"/>
    <w:rsid w:val="00427AA3"/>
    <w:rsid w:val="00453872"/>
    <w:rsid w:val="00485FCA"/>
    <w:rsid w:val="00496584"/>
    <w:rsid w:val="004A776D"/>
    <w:rsid w:val="004B1555"/>
    <w:rsid w:val="004E3E98"/>
    <w:rsid w:val="004F2889"/>
    <w:rsid w:val="00541FD2"/>
    <w:rsid w:val="0055497B"/>
    <w:rsid w:val="0058181F"/>
    <w:rsid w:val="005C5968"/>
    <w:rsid w:val="005D094F"/>
    <w:rsid w:val="005D61F8"/>
    <w:rsid w:val="006032DC"/>
    <w:rsid w:val="006A0286"/>
    <w:rsid w:val="006F1257"/>
    <w:rsid w:val="006F2AB8"/>
    <w:rsid w:val="00705B52"/>
    <w:rsid w:val="0072674E"/>
    <w:rsid w:val="007416BA"/>
    <w:rsid w:val="0075652D"/>
    <w:rsid w:val="00784065"/>
    <w:rsid w:val="007A754E"/>
    <w:rsid w:val="00830C91"/>
    <w:rsid w:val="008A6298"/>
    <w:rsid w:val="008C735A"/>
    <w:rsid w:val="008D7527"/>
    <w:rsid w:val="008F6FC9"/>
    <w:rsid w:val="00926E98"/>
    <w:rsid w:val="0095504B"/>
    <w:rsid w:val="009B2D68"/>
    <w:rsid w:val="00A14DE2"/>
    <w:rsid w:val="00A45902"/>
    <w:rsid w:val="00A566D5"/>
    <w:rsid w:val="00A72387"/>
    <w:rsid w:val="00A863A2"/>
    <w:rsid w:val="00AA24DC"/>
    <w:rsid w:val="00AC69E3"/>
    <w:rsid w:val="00B14C89"/>
    <w:rsid w:val="00B33955"/>
    <w:rsid w:val="00BD1F01"/>
    <w:rsid w:val="00CB64D3"/>
    <w:rsid w:val="00D20830"/>
    <w:rsid w:val="00D71C46"/>
    <w:rsid w:val="00D855DD"/>
    <w:rsid w:val="00D85F96"/>
    <w:rsid w:val="00DE067D"/>
    <w:rsid w:val="00DF053C"/>
    <w:rsid w:val="00E1011A"/>
    <w:rsid w:val="00E70A55"/>
    <w:rsid w:val="00EB03FD"/>
    <w:rsid w:val="00ED06B2"/>
    <w:rsid w:val="00EF65E3"/>
    <w:rsid w:val="00F161C4"/>
    <w:rsid w:val="00F35A70"/>
    <w:rsid w:val="00F4202D"/>
    <w:rsid w:val="00FB5E7E"/>
    <w:rsid w:val="00FC405A"/>
    <w:rsid w:val="00FC7877"/>
    <w:rsid w:val="06782196"/>
    <w:rsid w:val="2FC61281"/>
    <w:rsid w:val="331217FF"/>
    <w:rsid w:val="4A1F6809"/>
    <w:rsid w:val="5C4E1BEB"/>
    <w:rsid w:val="63CC1360"/>
    <w:rsid w:val="65914D10"/>
    <w:rsid w:val="6B7C455F"/>
    <w:rsid w:val="6D7012E0"/>
    <w:rsid w:val="795D38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5902"/>
    <w:pPr>
      <w:widowControl w:val="0"/>
    </w:pPr>
    <w:rPr>
      <w:rFonts w:asciiTheme="minorHAnsi" w:eastAsiaTheme="minorEastAsia" w:hAnsiTheme="minorHAnsi" w:cstheme="minorBidi"/>
      <w:sz w:val="22"/>
      <w:szCs w:val="22"/>
      <w:lang w:eastAsia="en-US"/>
    </w:rPr>
  </w:style>
  <w:style w:type="paragraph" w:styleId="1">
    <w:name w:val="heading 1"/>
    <w:basedOn w:val="a"/>
    <w:next w:val="a"/>
    <w:uiPriority w:val="1"/>
    <w:qFormat/>
    <w:rsid w:val="00A45902"/>
    <w:pPr>
      <w:ind w:left="100"/>
      <w:outlineLvl w:val="0"/>
    </w:pPr>
    <w:rPr>
      <w:rFonts w:ascii="宋体" w:eastAsia="宋体" w:hAnsi="宋体"/>
      <w:sz w:val="36"/>
      <w:szCs w:val="36"/>
    </w:rPr>
  </w:style>
  <w:style w:type="paragraph" w:styleId="2">
    <w:name w:val="heading 2"/>
    <w:basedOn w:val="a"/>
    <w:next w:val="a"/>
    <w:uiPriority w:val="1"/>
    <w:qFormat/>
    <w:rsid w:val="00A45902"/>
    <w:pPr>
      <w:ind w:left="-21" w:firstLine="2592"/>
      <w:outlineLvl w:val="1"/>
    </w:pPr>
    <w:rPr>
      <w:rFonts w:ascii="宋体" w:eastAsia="宋体" w:hAnsi="宋体"/>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A45902"/>
    <w:pPr>
      <w:spacing w:before="207"/>
      <w:ind w:left="120"/>
    </w:pPr>
    <w:rPr>
      <w:rFonts w:ascii="宋体" w:eastAsia="宋体" w:hAnsi="宋体"/>
      <w:sz w:val="30"/>
      <w:szCs w:val="30"/>
    </w:rPr>
  </w:style>
  <w:style w:type="paragraph" w:styleId="a4">
    <w:name w:val="footer"/>
    <w:basedOn w:val="a"/>
    <w:link w:val="Char"/>
    <w:uiPriority w:val="99"/>
    <w:unhideWhenUsed/>
    <w:qFormat/>
    <w:rsid w:val="00A45902"/>
    <w:pPr>
      <w:tabs>
        <w:tab w:val="center" w:pos="4153"/>
        <w:tab w:val="right" w:pos="8306"/>
      </w:tabs>
      <w:snapToGrid w:val="0"/>
    </w:pPr>
    <w:rPr>
      <w:sz w:val="18"/>
      <w:szCs w:val="18"/>
    </w:rPr>
  </w:style>
  <w:style w:type="paragraph" w:styleId="a5">
    <w:name w:val="header"/>
    <w:basedOn w:val="a"/>
    <w:link w:val="Char0"/>
    <w:uiPriority w:val="99"/>
    <w:unhideWhenUsed/>
    <w:qFormat/>
    <w:rsid w:val="00A45902"/>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rsid w:val="00A45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45902"/>
    <w:tblPr>
      <w:tblCellMar>
        <w:top w:w="0" w:type="dxa"/>
        <w:left w:w="0" w:type="dxa"/>
        <w:bottom w:w="0" w:type="dxa"/>
        <w:right w:w="0" w:type="dxa"/>
      </w:tblCellMar>
    </w:tblPr>
  </w:style>
  <w:style w:type="paragraph" w:styleId="a7">
    <w:name w:val="List Paragraph"/>
    <w:basedOn w:val="a"/>
    <w:uiPriority w:val="1"/>
    <w:qFormat/>
    <w:rsid w:val="00A45902"/>
  </w:style>
  <w:style w:type="paragraph" w:customStyle="1" w:styleId="TableParagraph">
    <w:name w:val="Table Paragraph"/>
    <w:basedOn w:val="a"/>
    <w:uiPriority w:val="1"/>
    <w:qFormat/>
    <w:rsid w:val="00A45902"/>
  </w:style>
  <w:style w:type="paragraph" w:customStyle="1" w:styleId="Default">
    <w:name w:val="Default"/>
    <w:qFormat/>
    <w:rsid w:val="00A45902"/>
    <w:pPr>
      <w:widowControl w:val="0"/>
      <w:autoSpaceDE w:val="0"/>
      <w:autoSpaceDN w:val="0"/>
      <w:adjustRightInd w:val="0"/>
    </w:pPr>
    <w:rPr>
      <w:rFonts w:ascii="方正黑体_GBK" w:eastAsiaTheme="minorEastAsia" w:hAnsi="方正黑体_GBK" w:cs="方正黑体_GBK"/>
      <w:color w:val="000000"/>
      <w:sz w:val="24"/>
      <w:szCs w:val="24"/>
      <w:lang w:eastAsia="en-US"/>
    </w:rPr>
  </w:style>
  <w:style w:type="character" w:customStyle="1" w:styleId="Char0">
    <w:name w:val="页眉 Char"/>
    <w:basedOn w:val="a0"/>
    <w:link w:val="a5"/>
    <w:uiPriority w:val="99"/>
    <w:qFormat/>
    <w:rsid w:val="00A45902"/>
    <w:rPr>
      <w:sz w:val="18"/>
      <w:szCs w:val="18"/>
    </w:rPr>
  </w:style>
  <w:style w:type="character" w:customStyle="1" w:styleId="Char">
    <w:name w:val="页脚 Char"/>
    <w:basedOn w:val="a0"/>
    <w:link w:val="a4"/>
    <w:uiPriority w:val="99"/>
    <w:qFormat/>
    <w:rsid w:val="00A45902"/>
    <w:rPr>
      <w:sz w:val="18"/>
      <w:szCs w:val="18"/>
    </w:rPr>
  </w:style>
  <w:style w:type="character" w:customStyle="1" w:styleId="font21">
    <w:name w:val="font21"/>
    <w:basedOn w:val="a0"/>
    <w:rsid w:val="00A45902"/>
    <w:rPr>
      <w:rFonts w:ascii="宋体" w:eastAsia="宋体" w:hAnsi="宋体" w:cs="宋体" w:hint="eastAsia"/>
      <w:color w:val="000000"/>
      <w:sz w:val="22"/>
      <w:szCs w:val="22"/>
      <w:u w:val="none"/>
    </w:rPr>
  </w:style>
  <w:style w:type="character" w:customStyle="1" w:styleId="font41">
    <w:name w:val="font41"/>
    <w:basedOn w:val="a0"/>
    <w:qFormat/>
    <w:rsid w:val="00A45902"/>
    <w:rPr>
      <w:rFonts w:ascii="Times New Roman" w:hAnsi="Times New Roman" w:cs="Times New Roman" w:hint="default"/>
      <w:color w:val="000000"/>
      <w:sz w:val="22"/>
      <w:szCs w:val="22"/>
      <w:u w:val="none"/>
    </w:rPr>
  </w:style>
  <w:style w:type="character" w:customStyle="1" w:styleId="font61">
    <w:name w:val="font61"/>
    <w:basedOn w:val="a0"/>
    <w:rsid w:val="00A45902"/>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446</Words>
  <Characters>2548</Characters>
  <Application>Microsoft Office Word</Application>
  <DocSecurity>0</DocSecurity>
  <Lines>21</Lines>
  <Paragraphs>5</Paragraphs>
  <ScaleCrop>false</ScaleCrop>
  <Company>Microsoft</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张肖军(拟稿)</dc:creator>
  <cp:lastModifiedBy>Administrator</cp:lastModifiedBy>
  <cp:revision>63</cp:revision>
  <cp:lastPrinted>2026-06-04T01:28:00Z</cp:lastPrinted>
  <dcterms:created xsi:type="dcterms:W3CDTF">2021-08-19T09:37:00Z</dcterms:created>
  <dcterms:modified xsi:type="dcterms:W3CDTF">2026-06-04T05:22:00Z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Acrobat Pro 11.0.7</vt:lpwstr>
  </property>
  <property fmtid="{D5CDD505-2E9C-101B-9397-08002B2CF9AE}" pid="4" name="LastSaved">
    <vt:filetime>2021-08-19T00:00:00Z</vt:filetime>
  </property>
  <property fmtid="{D5CDD505-2E9C-101B-9397-08002B2CF9AE}" pid="5" name="KSOProductBuildVer">
    <vt:lpwstr>2052-12.1.0.26895</vt:lpwstr>
  </property>
  <property fmtid="{D5CDD505-2E9C-101B-9397-08002B2CF9AE}" pid="6" name="ICV">
    <vt:lpwstr>6110B7415DC740C58185CD86345CBEB1</vt:lpwstr>
  </property>
  <property fmtid="{D5CDD505-2E9C-101B-9397-08002B2CF9AE}" pid="7" name="KSOTemplateDocerSaveRecord">
    <vt:lpwstr>eyJoZGlkIjoiNzY3M2VmZTBmN2FjMmM2MTliOThhY2MyMTgxZGE4ZGIiLCJ1c2VySWQiOiIyNDYwNDE2MjkifQ==</vt:lpwstr>
  </property>
</Properties>
</file>