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6A632">
      <w:pPr>
        <w:keepNext w:val="0"/>
        <w:keepLines w:val="0"/>
        <w:pageBreakBefore w:val="0"/>
        <w:widowControl w:val="0"/>
        <w:kinsoku/>
        <w:wordWrap/>
        <w:overflowPunct/>
        <w:topLinePunct w:val="0"/>
        <w:autoSpaceDE/>
        <w:autoSpaceDN/>
        <w:bidi w:val="0"/>
        <w:adjustRightInd/>
        <w:snapToGrid/>
        <w:spacing w:before="9" w:line="574" w:lineRule="exact"/>
        <w:ind w:left="12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7</w:t>
      </w:r>
    </w:p>
    <w:p w14:paraId="3A6CD4ED">
      <w:pPr>
        <w:keepNext w:val="0"/>
        <w:keepLines w:val="0"/>
        <w:pageBreakBefore w:val="0"/>
        <w:widowControl w:val="0"/>
        <w:kinsoku/>
        <w:wordWrap/>
        <w:overflowPunct/>
        <w:topLinePunct w:val="0"/>
        <w:autoSpaceDE/>
        <w:autoSpaceDN/>
        <w:bidi w:val="0"/>
        <w:adjustRightInd/>
        <w:snapToGrid/>
        <w:spacing w:before="2" w:line="574" w:lineRule="exact"/>
        <w:textAlignment w:val="auto"/>
        <w:rPr>
          <w:rFonts w:ascii="Times New Roman" w:hAnsi="Times New Roman" w:eastAsia="宋体" w:cs="宋体"/>
          <w:sz w:val="27"/>
          <w:szCs w:val="27"/>
          <w:lang w:eastAsia="zh-CN"/>
        </w:rPr>
      </w:pPr>
    </w:p>
    <w:p w14:paraId="093B0A12">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ascii="Times New Roman" w:hAnsi="Times New Roman" w:eastAsia="方正小标宋_GBK" w:cs="宋体"/>
          <w:sz w:val="44"/>
          <w:szCs w:val="44"/>
          <w:lang w:eastAsia="zh-CN"/>
        </w:rPr>
      </w:pPr>
      <w:r>
        <w:rPr>
          <w:rFonts w:hint="eastAsia" w:ascii="Times New Roman" w:hAnsi="Times New Roman" w:eastAsia="方正小标宋_GBK"/>
          <w:sz w:val="44"/>
          <w:szCs w:val="44"/>
          <w:lang w:eastAsia="zh-CN"/>
        </w:rPr>
        <w:t>江苏省政府专项债券项目绩效自评价报告</w:t>
      </w:r>
    </w:p>
    <w:p w14:paraId="395BB263">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黑体"/>
          <w:sz w:val="30"/>
          <w:szCs w:val="30"/>
          <w:lang w:eastAsia="zh-CN"/>
        </w:rPr>
      </w:pPr>
    </w:p>
    <w:p w14:paraId="3D5EA89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一、项目情况</w:t>
      </w:r>
    </w:p>
    <w:p w14:paraId="1A725724">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pacing w:val="-4"/>
          <w:sz w:val="30"/>
          <w:szCs w:val="30"/>
          <w:lang w:eastAsia="zh-CN"/>
        </w:rPr>
        <w:t>（一）项目概况。</w:t>
      </w:r>
    </w:p>
    <w:p w14:paraId="457CB91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1.项目名称：</w:t>
      </w:r>
      <w:r>
        <w:rPr>
          <w:rFonts w:hint="eastAsia" w:ascii="Times New Roman" w:hAnsi="Times New Roman" w:eastAsia="仿宋" w:cs="仿宋"/>
          <w:b w:val="0"/>
          <w:bCs w:val="0"/>
          <w:sz w:val="32"/>
          <w:szCs w:val="32"/>
          <w:lang w:val="en-US" w:eastAsia="zh-CN"/>
        </w:rPr>
        <w:t>春光苑安置小区</w:t>
      </w:r>
    </w:p>
    <w:p w14:paraId="19A0B193">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项目背景：近年来，钱桥街道为加快实现城乡发展一体化，将中心城镇建设、自然村撤并与改革传统农民宅基地使用制度相结合，统一建设多层、高层农民安置小区，将农民搬到城镇集中居住，享受社会保障，实行社区化集中管理，加快了区域城市化进程。为妥善安置近年来因钱桥街道城市建设而被征收的拆迁户，保障拆迁户的合法居住权益，无锡市惠山区钱桥街道设立了春光苑安置小区项目。</w:t>
      </w:r>
    </w:p>
    <w:p w14:paraId="33799933">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3.主要内容：春光苑安置小区项目坐落于无锡市惠山区钱桥大道与纬三路交叉口东北侧，项目规划用地总面积约15366.8平方米。项目规划新建建筑共计7幢，包含住宅楼栋4幢、配套服务用房2幢及地下车库1幢，项目总建筑面积达58836平方米。项目于2022年6月正式开工建设，原定计划2025年12月底全面竣工。现阶段项目主体土建及室外配套施工工作已基本完成，整体工程进入各类机电设施、配套设备安装调试收尾阶段。</w:t>
      </w:r>
    </w:p>
    <w:p w14:paraId="73FDEB06">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4.实施方式：本项目严格按照政府投资项目及地方政府专项债券管理相关规定组织实施，项目实施坚持合规建设、规范管理、专款专用、严控质量的原则。本项目采用建设单位统筹管理、公开招标择优遴选参建单位、多主体协同监管的建设模式，严格履行立项批复、规划审批、工程招投标、施工建设、工程监理等法定基本建设程序。依规确定施工、监理、勘察、设计及第三方质量检测机构，明确各参建主体工作职责与管控边界，搭建标准化、规范化工程管控体系，确保项目建设全程合法合规。</w:t>
      </w:r>
    </w:p>
    <w:p w14:paraId="753B4582">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5.资金投入和使用情况：本项目预计总投资2.7797亿元，资金来源为财政安排资金及申请地方政府专项债券资金。其中，财政安排资金1.5097亿元，占比54.31%；申请专项债券资金为1.27亿元，占比45.69%。2023年度申请专项债券资金0.6亿元，2024年度申请专项债券资金0.4亿元，2025年度申请专项债券资金0.27亿元，各年度债券资金均严格按照规定用途使用并拨付完毕。</w:t>
      </w:r>
    </w:p>
    <w:p w14:paraId="46F653A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z w:val="30"/>
          <w:szCs w:val="30"/>
          <w:lang w:eastAsia="zh-CN"/>
        </w:rPr>
        <w:t>（二）绩效目标。包括项目总体目标和阶段性目标。</w:t>
      </w:r>
    </w:p>
    <w:p w14:paraId="16D3CF6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总体目标：本项目严格按照规划方案及建设规范，完成住宅、配套用房、地下室及相关附属设施建设。通过完善小区基础配套，建成合规达标安置住房，满足拆迁居民安置居住需求，保障工程质量、工期及投资管控达标，实现项目规范建设、合规交付、平稳运维。</w:t>
      </w:r>
    </w:p>
    <w:p w14:paraId="6A2DCCD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阶段性目标：严格按照项目规划及年度施工计划，保质保量推进安置房工程建设，完成建设面积58836平方米、住宅套数324套建设任务，保障项目施工进度、质量合规可控。严格执行财政资金管理规定，实现专款专用、合规支付、成本可控。</w:t>
      </w:r>
    </w:p>
    <w:p w14:paraId="5FA9990A">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二、评价情况</w:t>
      </w:r>
    </w:p>
    <w:p w14:paraId="7BD5E64D">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（一）项目特点分析。</w:t>
      </w:r>
    </w:p>
    <w:p w14:paraId="3C291BC9">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结合专项债券绩效评价指标体系，现从决策、过程、产出、效益四个维度深入剖析本项目特点，明确各项绩效评价考核要点。一是项目决策科学合规，本项目为公益性保障性安置住房工程，契合区域城市更新及民生保障发展规划，立项依据充足，前期审批流程完整，选址布局、建设规模均经过科学论证，决策规范性较高，适配决策维度评价要求。二是建设过程管控规范，项目严格遵守基本建设程序，依法开展招投标工作，参建单位权责明晰；资金实行专账核算、专款专用，拨付审批流程严谨。同时项目实行全过程施工管控，对工程质量、施工安全、建设进度实施动态监管，满足过程维度考核标准。三是项目产出清晰可量化，项目建设内容明确，包含住宅楼、配套用房及地下室，建设标准统一规范，工程实体产出直观。可通过工程完工率、质量合格率、配套设施完备度等硬性指标开展量化考核，产出评价客观性强。四是综合社会效益突出，项目聚焦拆迁群众住房安置需求，建成后可有效解决片区拆迁居民居住问题，优化人居环境，完善区域居住配套，民生普惠属性鲜明，社会效益稳定持久，适配效益维度绩效评价。</w:t>
      </w:r>
    </w:p>
    <w:p w14:paraId="4B1A7F93">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pacing w:val="-4"/>
          <w:sz w:val="30"/>
          <w:szCs w:val="30"/>
          <w:lang w:eastAsia="zh-CN"/>
        </w:rPr>
        <w:t>（二）评价思路方法。评价重点考虑和关注内容和事项，评</w:t>
      </w:r>
      <w:r>
        <w:rPr>
          <w:rFonts w:hint="eastAsia" w:ascii="Times New Roman" w:hAnsi="Times New Roman" w:eastAsia="方正仿宋_GBK"/>
          <w:sz w:val="30"/>
          <w:szCs w:val="30"/>
          <w:lang w:eastAsia="zh-CN"/>
        </w:rPr>
        <w:t>价的原则、方法、标准等。</w:t>
      </w:r>
    </w:p>
    <w:p w14:paraId="0E03640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1.</w:t>
      </w:r>
      <w:r>
        <w:rPr>
          <w:rFonts w:hint="eastAsia" w:ascii="Times New Roman" w:hAnsi="Times New Roman" w:eastAsia="方正仿宋_GBK"/>
          <w:spacing w:val="-4"/>
          <w:sz w:val="30"/>
          <w:szCs w:val="30"/>
          <w:lang w:eastAsia="zh-CN"/>
        </w:rPr>
        <w:t>评价原则。本次绩效评价遵循客观公正、科学规范、全面系统、注重实效的原则，实事求是反映项目建设管理实况，统筹考量项目全流程情况，明确评判标准，保障评价结果真实公允。</w:t>
      </w:r>
    </w:p>
    <w:p w14:paraId="4B543DC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2.</w:t>
      </w:r>
      <w:r>
        <w:rPr>
          <w:rFonts w:hint="eastAsia" w:ascii="Times New Roman" w:hAnsi="Times New Roman" w:eastAsia="方正仿宋_GBK"/>
          <w:spacing w:val="-4"/>
          <w:sz w:val="30"/>
          <w:szCs w:val="30"/>
          <w:lang w:eastAsia="zh-CN"/>
        </w:rPr>
        <w:t>评价重点关注内容。结合项目特性及评价体系，本次评价重点核查项目立项审批等决策合规性；核查招投标、施工管控、资金使用等建设流程；考核建设规模、工程质量等产出完成情况；研判项目安置保障、人居改善等社会效益。</w:t>
      </w:r>
    </w:p>
    <w:p w14:paraId="70E9EF7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3.</w:t>
      </w:r>
      <w:r>
        <w:rPr>
          <w:rFonts w:hint="eastAsia" w:ascii="Times New Roman" w:hAnsi="Times New Roman" w:eastAsia="方正仿宋_GBK"/>
          <w:spacing w:val="-4"/>
          <w:sz w:val="30"/>
          <w:szCs w:val="30"/>
          <w:lang w:eastAsia="zh-CN"/>
        </w:rPr>
        <w:t>评价方法。本次评价综合采用资料审阅法、现场核查法、比较分析法。查阅项目批复、施工、财务等资料，结合现场实地踏勘，对照绩效目标与行业标准，客观评定项目绩效水平。</w:t>
      </w:r>
    </w:p>
    <w:p w14:paraId="5DA6777A">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4.</w:t>
      </w:r>
      <w:r>
        <w:rPr>
          <w:rFonts w:hint="eastAsia" w:ascii="Times New Roman" w:hAnsi="Times New Roman" w:eastAsia="方正仿宋_GBK"/>
          <w:spacing w:val="-4"/>
          <w:sz w:val="30"/>
          <w:szCs w:val="30"/>
          <w:lang w:eastAsia="zh-CN"/>
        </w:rPr>
        <w:t>评价标准。本次评价以基建及专项债券相关法律法规为法定标准，以项目批复文件为目标标准，以绩效指标评分细则为考核标准，逐项量化打分，得出客观评价结论。</w:t>
      </w:r>
    </w:p>
    <w:p w14:paraId="1265B455">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z w:val="30"/>
          <w:szCs w:val="30"/>
          <w:lang w:eastAsia="zh-CN"/>
        </w:rPr>
      </w:pPr>
      <w:r>
        <w:rPr>
          <w:rFonts w:hint="eastAsia" w:ascii="Times New Roman" w:hAnsi="Times New Roman" w:eastAsia="方正仿宋_GBK"/>
          <w:spacing w:val="-4"/>
          <w:sz w:val="30"/>
          <w:szCs w:val="30"/>
          <w:lang w:eastAsia="zh-CN"/>
        </w:rPr>
        <w:t>（三）评价工作情况。主要为项目情况核查和社会测评等方</w:t>
      </w:r>
      <w:r>
        <w:rPr>
          <w:rFonts w:hint="eastAsia" w:ascii="Times New Roman" w:hAnsi="Times New Roman" w:eastAsia="方正仿宋_GBK"/>
          <w:sz w:val="30"/>
          <w:szCs w:val="30"/>
          <w:lang w:eastAsia="zh-CN"/>
        </w:rPr>
        <w:t>面的情况。</w:t>
      </w:r>
    </w:p>
    <w:p w14:paraId="6DB713E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1.项目情况核查。本次评价采用资料审查结合现场核查的方式，梳理项目审批、施工、财务、验收等资料，同时实地踏勘现场，核验工程建设、资金使用手续的合规性，确认项目实施内容与批复要求一致。</w:t>
      </w:r>
    </w:p>
    <w:p w14:paraId="3987CAB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社会测评情况。本次评价采用问卷调查方式开展社会测评，调查范围涵盖施工单位、监理单位、勘察单位等，重点调研工程建设质量、现场管理等内容。调查流程规范，样本真实有效，为项目社会效益评价提供客观依据。</w:t>
      </w:r>
    </w:p>
    <w:p w14:paraId="2FEC1E9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z w:val="30"/>
          <w:szCs w:val="30"/>
          <w:lang w:eastAsia="zh-CN"/>
        </w:rPr>
        <w:t>（四）绩效评价结论。</w:t>
      </w:r>
    </w:p>
    <w:p w14:paraId="52E3C68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经自我评价，2025年度春光苑安置小区项目绩效得分为96分，评价等级为优秀。</w:t>
      </w:r>
    </w:p>
    <w:p w14:paraId="3C9AC0CB">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黑体"/>
          <w:sz w:val="30"/>
          <w:szCs w:val="30"/>
          <w:lang w:eastAsia="zh-CN"/>
        </w:rPr>
      </w:pPr>
      <w:r>
        <w:rPr>
          <w:rFonts w:hint="eastAsia" w:ascii="Times New Roman" w:hAnsi="Times New Roman" w:eastAsia="黑体"/>
          <w:sz w:val="30"/>
          <w:szCs w:val="30"/>
          <w:lang w:eastAsia="zh-CN"/>
        </w:rPr>
        <w:t>三、项目绩效。</w:t>
      </w:r>
    </w:p>
    <w:p w14:paraId="392F2AA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从工程建设层面来看，本项目严格依照批复文件及行业施工规范推进建设，土建工程、配套管网及附属设施均按设计要求施工完成。项目全过程落实质量管控与安全生产管理制度，规范施工流程，强化现场巡查排查，施工期间未发生质量缺陷及安全事故，工程质量符合验收标准。同时项目资料归档完整规范，建成后居住功能完善，可有效安置片区拆迁居民，改善人居环境，完善区域民生配套，社会效益良好。</w:t>
      </w:r>
    </w:p>
    <w:p w14:paraId="4582D67A">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从资金使用层面来看，本项目各批次专项债券资金均依规拨付且使用完毕，严格执行专账核算、专款专用管理要求。资金拨付审批流程严谨合规，资金使用用途与项目批复建设内容保持一致，不存在挤占、挪用、闲置资金等违规情况。资金贴合施工进度合理调配利用，资金使用合规规范、利用效率良好，圆满完成既定资金管理绩效目标。</w:t>
      </w:r>
    </w:p>
    <w:p w14:paraId="1A08CC73">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黑体"/>
          <w:sz w:val="30"/>
          <w:szCs w:val="30"/>
          <w:lang w:eastAsia="zh-CN"/>
        </w:rPr>
        <w:t>四、存在问题。</w:t>
      </w:r>
    </w:p>
    <w:p w14:paraId="3735200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黑体"/>
          <w:sz w:val="30"/>
          <w:szCs w:val="30"/>
          <w:lang w:eastAsia="zh-CN"/>
        </w:rPr>
      </w:pPr>
      <w:r>
        <w:rPr>
          <w:rFonts w:hint="eastAsia" w:ascii="Times New Roman" w:hAnsi="Times New Roman" w:eastAsia="方正仿宋_GBK"/>
          <w:sz w:val="30"/>
          <w:szCs w:val="30"/>
          <w:lang w:val="en-US" w:eastAsia="zh-CN"/>
        </w:rPr>
        <w:t>项目现阶段存在建设进度滞后的问题。本项目原计划于2025年12月底完成全部建设施工并达到完工标准，现阶段项目尚未全面竣工，预计完工时间顺延至2026年6月。造成工期滞后的主要原因为项目水、电、气等市政配套管线施工推进速度偏慢，配套管线衔接铺设工序耗时较长，对整体施工进度造成一定影响，致使项目未能按既定时间节点完成建设任务。</w:t>
      </w:r>
    </w:p>
    <w:p w14:paraId="7A662B1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黑体"/>
          <w:sz w:val="30"/>
          <w:szCs w:val="30"/>
          <w:lang w:eastAsia="zh-CN"/>
        </w:rPr>
      </w:pPr>
      <w:r>
        <w:rPr>
          <w:rFonts w:hint="eastAsia" w:ascii="Times New Roman" w:hAnsi="Times New Roman" w:eastAsia="黑体"/>
          <w:sz w:val="30"/>
          <w:szCs w:val="30"/>
          <w:lang w:eastAsia="zh-CN"/>
        </w:rPr>
        <w:t>五、有关建议。</w:t>
      </w:r>
      <w:r>
        <w:rPr>
          <w:rFonts w:hint="eastAsia" w:ascii="Times New Roman" w:hAnsi="Times New Roman" w:eastAsia="方正仿宋_GBK"/>
          <w:spacing w:val="-4"/>
          <w:sz w:val="30"/>
          <w:szCs w:val="30"/>
          <w:lang w:eastAsia="zh-CN"/>
        </w:rPr>
        <w:t>针对存在问题及其成因提出建议。</w:t>
      </w:r>
      <w:r>
        <w:rPr>
          <w:rFonts w:hint="eastAsia" w:ascii="Times New Roman" w:hAnsi="Times New Roman" w:eastAsia="黑体"/>
          <w:sz w:val="30"/>
          <w:szCs w:val="30"/>
          <w:lang w:eastAsia="zh-CN"/>
        </w:rPr>
        <w:t xml:space="preserve"> </w:t>
      </w:r>
    </w:p>
    <w:p w14:paraId="43DAC9A2">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val="en-US" w:eastAsia="zh-CN"/>
        </w:rPr>
      </w:pPr>
      <w:r>
        <w:rPr>
          <w:rFonts w:hint="eastAsia" w:ascii="Times New Roman" w:hAnsi="Times New Roman" w:eastAsia="方正仿宋_GBK"/>
          <w:spacing w:val="-4"/>
          <w:sz w:val="30"/>
          <w:szCs w:val="30"/>
          <w:lang w:val="en-US" w:eastAsia="zh-CN"/>
        </w:rPr>
        <w:t>截至评价时点，本项目水、电、气管线工程已全部施工完成，目前仅开展设备调试作业，剩余少量室外零星工程。结合前期市政管线施工偏慢、</w:t>
      </w:r>
      <w:bookmarkStart w:id="0" w:name="_GoBack"/>
      <w:bookmarkEnd w:id="0"/>
      <w:r>
        <w:rPr>
          <w:rFonts w:hint="eastAsia" w:ascii="Times New Roman" w:hAnsi="Times New Roman" w:eastAsia="方正仿宋_GBK"/>
          <w:spacing w:val="-4"/>
          <w:sz w:val="30"/>
          <w:szCs w:val="30"/>
          <w:lang w:val="en-US" w:eastAsia="zh-CN"/>
        </w:rPr>
        <w:t>工期延后的问题，提出以下建议：一是压实收尾管控。紧盯剩余设备调试及室外零星工程，科学调配人力物力，加快收尾施工进度，确保2026年6月按期竣工。二是优化工序衔接。总结本次管线施工滞后经验，统筹各类管线施工时序，加强各施工班组协同配合，减少工序衔接空档。</w:t>
      </w:r>
    </w:p>
    <w:p w14:paraId="5595E221">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黑体"/>
          <w:sz w:val="30"/>
          <w:szCs w:val="30"/>
          <w:lang w:eastAsia="zh-CN"/>
        </w:rPr>
      </w:pPr>
      <w:r>
        <w:rPr>
          <w:rFonts w:hint="eastAsia" w:ascii="Times New Roman" w:hAnsi="Times New Roman" w:eastAsia="黑体"/>
          <w:sz w:val="30"/>
          <w:szCs w:val="30"/>
          <w:lang w:val="en-US" w:eastAsia="zh-CN"/>
        </w:rPr>
        <w:t>六、</w:t>
      </w:r>
      <w:r>
        <w:rPr>
          <w:rFonts w:hint="eastAsia" w:ascii="Times New Roman" w:hAnsi="Times New Roman" w:eastAsia="黑体"/>
          <w:sz w:val="30"/>
          <w:szCs w:val="30"/>
          <w:lang w:eastAsia="zh-CN"/>
        </w:rPr>
        <w:t>相关信息。</w:t>
      </w:r>
    </w:p>
    <w:p w14:paraId="23F894AE">
      <w:pPr>
        <w:keepNext w:val="0"/>
        <w:keepLines w:val="0"/>
        <w:pageBreakBefore w:val="0"/>
        <w:widowControl w:val="0"/>
        <w:numPr>
          <w:ilvl w:val="0"/>
          <w:numId w:val="0"/>
        </w:numPr>
        <w:kinsoku/>
        <w:wordWrap/>
        <w:overflowPunct/>
        <w:topLinePunct w:val="0"/>
        <w:autoSpaceDE/>
        <w:autoSpaceDN/>
        <w:bidi w:val="0"/>
        <w:adjustRightInd/>
        <w:snapToGrid/>
        <w:spacing w:line="574" w:lineRule="exact"/>
        <w:jc w:val="center"/>
        <w:textAlignment w:val="auto"/>
        <w:rPr>
          <w:rFonts w:hint="eastAsia" w:ascii="Times New Roman" w:hAnsi="Times New Roman" w:eastAsia="黑体" w:cs="黑体"/>
          <w:sz w:val="30"/>
          <w:szCs w:val="30"/>
          <w:lang w:val="en-US" w:eastAsia="zh-CN"/>
        </w:rPr>
      </w:pPr>
      <w:r>
        <w:rPr>
          <w:rFonts w:hint="eastAsia" w:ascii="Times New Roman" w:hAnsi="Times New Roman" w:eastAsia="黑体" w:cs="黑体"/>
          <w:spacing w:val="-4"/>
          <w:sz w:val="30"/>
          <w:szCs w:val="30"/>
          <w:lang w:val="en-US" w:eastAsia="zh-CN"/>
        </w:rPr>
        <w:t>春光苑安置小区项目2025年度绩效评价评分表</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7"/>
        <w:gridCol w:w="1136"/>
        <w:gridCol w:w="3800"/>
        <w:gridCol w:w="1474"/>
        <w:gridCol w:w="1474"/>
      </w:tblGrid>
      <w:tr w14:paraId="4052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E40B73">
            <w:pPr>
              <w:spacing w:beforeLines="0" w:afterLines="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一级指标</w:t>
            </w:r>
          </w:p>
        </w:tc>
        <w:tc>
          <w:tcPr>
            <w:tcW w:w="11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7001BC">
            <w:pPr>
              <w:spacing w:beforeLines="0" w:afterLines="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二级指标</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67B893">
            <w:pPr>
              <w:spacing w:beforeLines="0" w:afterLines="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三级指标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F5B2D">
            <w:pPr>
              <w:spacing w:beforeLines="0" w:afterLines="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目标值</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59F4B0">
            <w:pPr>
              <w:spacing w:beforeLines="0" w:afterLines="0"/>
              <w:jc w:val="center"/>
              <w:rPr>
                <w:rFonts w:hint="eastAsia"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完成值</w:t>
            </w:r>
          </w:p>
        </w:tc>
      </w:tr>
      <w:tr w14:paraId="0A602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restart"/>
            <w:tcBorders>
              <w:top w:val="single" w:color="auto" w:sz="4" w:space="0"/>
              <w:left w:val="single" w:color="auto" w:sz="4" w:space="0"/>
              <w:right w:val="single" w:color="auto" w:sz="4" w:space="0"/>
              <w:tl2br w:val="nil"/>
              <w:tr2bl w:val="nil"/>
            </w:tcBorders>
            <w:noWrap w:val="0"/>
            <w:vAlign w:val="center"/>
          </w:tcPr>
          <w:p w14:paraId="4C19910C">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过程</w:t>
            </w: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1380D819">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资金管理</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077AF4">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指标1：资金到位率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FB88B0">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BDC63">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12FCE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7D6E8815">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right w:val="single" w:color="auto" w:sz="4" w:space="0"/>
              <w:tl2br w:val="nil"/>
              <w:tr2bl w:val="nil"/>
            </w:tcBorders>
            <w:noWrap w:val="0"/>
            <w:vAlign w:val="center"/>
          </w:tcPr>
          <w:p w14:paraId="1F18D24C">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475993">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指标2：预算执行率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C2E558">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16FEEB">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269A2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0D5EE8E3">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0677CC5A">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9D550E">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指标3：资金使用合规性</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D557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合规</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057265">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合规</w:t>
            </w:r>
          </w:p>
        </w:tc>
      </w:tr>
      <w:tr w14:paraId="0304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400FA9DF">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028BBCF4">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组织实施</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326A5">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指标1：管理制度健全性</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541C3B">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健全</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91666D">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健全</w:t>
            </w:r>
          </w:p>
        </w:tc>
      </w:tr>
      <w:tr w14:paraId="3271C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bottom w:val="single" w:color="auto" w:sz="4" w:space="0"/>
              <w:right w:val="single" w:color="auto" w:sz="4" w:space="0"/>
              <w:tl2br w:val="nil"/>
              <w:tr2bl w:val="nil"/>
            </w:tcBorders>
            <w:noWrap w:val="0"/>
            <w:vAlign w:val="center"/>
          </w:tcPr>
          <w:p w14:paraId="7F179BBE">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5CFC2106">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BBF87">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指标2：制度执行有效性</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3FCE76">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有效</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D67B0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有效</w:t>
            </w:r>
          </w:p>
        </w:tc>
      </w:tr>
      <w:tr w14:paraId="2C7F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restart"/>
            <w:tcBorders>
              <w:top w:val="single" w:color="auto" w:sz="4" w:space="0"/>
              <w:left w:val="single" w:color="auto" w:sz="4" w:space="0"/>
              <w:right w:val="single" w:color="auto" w:sz="4" w:space="0"/>
              <w:tl2br w:val="nil"/>
              <w:tr2bl w:val="nil"/>
            </w:tcBorders>
            <w:noWrap w:val="0"/>
            <w:vAlign w:val="center"/>
          </w:tcPr>
          <w:p w14:paraId="2D9FB86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产出</w:t>
            </w: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5A4C4435">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数量指标</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C451F1">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指标1：累计完成建设面积</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FF5B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58836平方米</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43D32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58836平方米</w:t>
            </w:r>
          </w:p>
        </w:tc>
      </w:tr>
      <w:tr w14:paraId="5D718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2A79655A">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right w:val="single" w:color="auto" w:sz="4" w:space="0"/>
              <w:tl2br w:val="nil"/>
              <w:tr2bl w:val="nil"/>
            </w:tcBorders>
            <w:noWrap w:val="0"/>
            <w:vAlign w:val="center"/>
          </w:tcPr>
          <w:p w14:paraId="19567D1C">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318999">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指标2：建成住宅套数</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CD6C06">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324</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E07C2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324</w:t>
            </w:r>
          </w:p>
        </w:tc>
      </w:tr>
      <w:tr w14:paraId="7525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3378C354">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7E547671">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D487C3">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指标3：水电气主管网铺设完成率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1298E">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96EB9E">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85%</w:t>
            </w:r>
          </w:p>
        </w:tc>
      </w:tr>
      <w:tr w14:paraId="131CA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6F68DBFC">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0DEE331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质量指标</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114C66">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指标1：分项工程质量验收合格率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AF61F5">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8B61F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70BD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310ACBC2">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right w:val="single" w:color="auto" w:sz="4" w:space="0"/>
              <w:tl2br w:val="nil"/>
              <w:tr2bl w:val="nil"/>
            </w:tcBorders>
            <w:noWrap w:val="0"/>
            <w:vAlign w:val="center"/>
          </w:tcPr>
          <w:p w14:paraId="70EAD7BA">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B20878">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指标2：工程建设标准达标率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E6DBBF">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A587CE">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380D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bottom w:val="single" w:color="auto" w:sz="4" w:space="0"/>
              <w:right w:val="single" w:color="auto" w:sz="4" w:space="0"/>
              <w:tl2br w:val="nil"/>
              <w:tr2bl w:val="nil"/>
            </w:tcBorders>
            <w:noWrap w:val="0"/>
            <w:vAlign w:val="center"/>
          </w:tcPr>
          <w:p w14:paraId="100769AA">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0FD0138F">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ED1504">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指标3：工程质量问题整改闭环率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C31B54">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1AC19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4B50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810F192">
            <w:pPr>
              <w:spacing w:beforeLines="0" w:afterLines="0"/>
              <w:jc w:val="center"/>
              <w:rPr>
                <w:rFonts w:hint="eastAsia" w:ascii="Times New Roman" w:hAnsi="Times New Roman" w:eastAsia="宋体" w:cs="宋体"/>
                <w:b/>
                <w:bCs/>
                <w:color w:val="000000"/>
                <w:sz w:val="21"/>
                <w:szCs w:val="21"/>
                <w:lang w:val="en-US" w:eastAsia="zh-CN" w:bidi="ar-SA"/>
              </w:rPr>
            </w:pPr>
            <w:r>
              <w:rPr>
                <w:rFonts w:hint="eastAsia" w:ascii="Times New Roman" w:hAnsi="Times New Roman" w:eastAsia="宋体" w:cs="宋体"/>
                <w:b/>
                <w:bCs/>
                <w:color w:val="000000"/>
                <w:sz w:val="21"/>
                <w:szCs w:val="21"/>
                <w:lang w:val="en-US" w:eastAsia="zh-CN"/>
              </w:rPr>
              <w:t>一级指标</w:t>
            </w:r>
          </w:p>
        </w:tc>
        <w:tc>
          <w:tcPr>
            <w:tcW w:w="1136"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1C8DB6CE">
            <w:pPr>
              <w:spacing w:beforeLines="0" w:afterLines="0"/>
              <w:jc w:val="center"/>
              <w:rPr>
                <w:rFonts w:hint="eastAsia" w:ascii="Times New Roman" w:hAnsi="Times New Roman" w:eastAsia="宋体" w:cs="宋体"/>
                <w:b/>
                <w:bCs/>
                <w:color w:val="000000"/>
                <w:sz w:val="21"/>
                <w:szCs w:val="21"/>
                <w:lang w:val="en-US" w:eastAsia="zh-CN" w:bidi="ar-SA"/>
              </w:rPr>
            </w:pPr>
            <w:r>
              <w:rPr>
                <w:rFonts w:hint="eastAsia" w:ascii="Times New Roman" w:hAnsi="Times New Roman" w:eastAsia="宋体" w:cs="宋体"/>
                <w:b/>
                <w:bCs/>
                <w:color w:val="000000"/>
                <w:sz w:val="21"/>
                <w:szCs w:val="21"/>
                <w:lang w:val="en-US" w:eastAsia="zh-CN"/>
              </w:rPr>
              <w:t>二级指标</w:t>
            </w:r>
          </w:p>
        </w:tc>
        <w:tc>
          <w:tcPr>
            <w:tcW w:w="3800"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2E761EFF">
            <w:pPr>
              <w:spacing w:beforeLines="0" w:afterLines="0"/>
              <w:jc w:val="center"/>
              <w:rPr>
                <w:rFonts w:hint="eastAsia" w:ascii="Times New Roman" w:hAnsi="Times New Roman" w:eastAsia="宋体" w:cs="宋体"/>
                <w:b/>
                <w:bCs/>
                <w:color w:val="000000"/>
                <w:sz w:val="21"/>
                <w:szCs w:val="21"/>
                <w:lang w:val="en-US" w:eastAsia="zh-CN" w:bidi="ar-SA"/>
              </w:rPr>
            </w:pPr>
            <w:r>
              <w:rPr>
                <w:rFonts w:hint="eastAsia" w:ascii="Times New Roman" w:hAnsi="Times New Roman" w:eastAsia="宋体" w:cs="宋体"/>
                <w:b/>
                <w:bCs/>
                <w:color w:val="000000"/>
                <w:sz w:val="21"/>
                <w:szCs w:val="21"/>
                <w:lang w:val="en-US" w:eastAsia="zh-CN"/>
              </w:rPr>
              <w:t>三级指标</w:t>
            </w:r>
          </w:p>
        </w:tc>
        <w:tc>
          <w:tcPr>
            <w:tcW w:w="1474"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5B683897">
            <w:pPr>
              <w:spacing w:beforeLines="0" w:afterLines="0"/>
              <w:jc w:val="center"/>
              <w:rPr>
                <w:rFonts w:hint="eastAsia" w:ascii="Times New Roman" w:hAnsi="Times New Roman" w:eastAsia="宋体" w:cs="宋体"/>
                <w:b/>
                <w:bCs/>
                <w:color w:val="000000"/>
                <w:sz w:val="21"/>
                <w:szCs w:val="21"/>
                <w:lang w:val="en-US" w:eastAsia="zh-CN" w:bidi="ar-SA"/>
              </w:rPr>
            </w:pPr>
            <w:r>
              <w:rPr>
                <w:rFonts w:hint="eastAsia" w:ascii="Times New Roman" w:hAnsi="Times New Roman" w:eastAsia="宋体" w:cs="宋体"/>
                <w:b/>
                <w:bCs/>
                <w:color w:val="000000"/>
                <w:sz w:val="21"/>
                <w:szCs w:val="21"/>
                <w:lang w:val="en-US" w:eastAsia="zh-CN"/>
              </w:rPr>
              <w:t>目标值</w:t>
            </w:r>
          </w:p>
        </w:tc>
        <w:tc>
          <w:tcPr>
            <w:tcW w:w="1474" w:type="dxa"/>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61DD23F8">
            <w:pPr>
              <w:spacing w:beforeLines="0" w:afterLines="0"/>
              <w:jc w:val="center"/>
              <w:rPr>
                <w:rFonts w:hint="eastAsia" w:ascii="Times New Roman" w:hAnsi="Times New Roman" w:eastAsia="宋体" w:cs="宋体"/>
                <w:b/>
                <w:bCs/>
                <w:color w:val="000000"/>
                <w:sz w:val="21"/>
                <w:szCs w:val="21"/>
                <w:lang w:val="en-US" w:eastAsia="zh-CN" w:bidi="ar-SA"/>
              </w:rPr>
            </w:pPr>
            <w:r>
              <w:rPr>
                <w:rFonts w:hint="eastAsia" w:ascii="Times New Roman" w:hAnsi="Times New Roman" w:eastAsia="宋体" w:cs="宋体"/>
                <w:b/>
                <w:bCs/>
                <w:color w:val="000000"/>
                <w:sz w:val="21"/>
                <w:szCs w:val="21"/>
                <w:lang w:val="en-US" w:eastAsia="zh-CN"/>
              </w:rPr>
              <w:t>完成值</w:t>
            </w:r>
          </w:p>
        </w:tc>
      </w:tr>
      <w:tr w14:paraId="1E1C6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restart"/>
            <w:tcBorders>
              <w:top w:val="single" w:color="auto" w:sz="4" w:space="0"/>
              <w:left w:val="single" w:color="auto" w:sz="4" w:space="0"/>
              <w:right w:val="single" w:color="auto" w:sz="4" w:space="0"/>
              <w:tl2br w:val="nil"/>
              <w:tr2bl w:val="nil"/>
            </w:tcBorders>
            <w:noWrap w:val="0"/>
            <w:vAlign w:val="center"/>
          </w:tcPr>
          <w:p w14:paraId="15C07B96">
            <w:pPr>
              <w:spacing w:beforeLines="0" w:afterLines="0"/>
              <w:jc w:val="center"/>
              <w:rPr>
                <w:rFonts w:hint="eastAsia"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产出</w:t>
            </w: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45A2CABD">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时效指标</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F1E4FE">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指标1：年度建设任务完成及时率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2D82F3">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EC60C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90%</w:t>
            </w:r>
          </w:p>
        </w:tc>
      </w:tr>
      <w:tr w14:paraId="10E7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3E752867">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right w:val="single" w:color="auto" w:sz="4" w:space="0"/>
              <w:tl2br w:val="nil"/>
              <w:tr2bl w:val="nil"/>
            </w:tcBorders>
            <w:noWrap w:val="0"/>
            <w:vAlign w:val="center"/>
          </w:tcPr>
          <w:p w14:paraId="338D6E55">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BCA633">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指标2：已完分项工程验收及时率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DB266B">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19160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04311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151947E0">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74C092AF">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E72D2">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指标3：项目建设手续办理及时率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A216B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E30C44">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20EB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76D1ECF8">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27482A4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成本指标</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E1DBF0">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指标1：年度投资控制率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2B2D5">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60BCE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4A17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bottom w:val="single" w:color="auto" w:sz="4" w:space="0"/>
              <w:right w:val="single" w:color="auto" w:sz="4" w:space="0"/>
              <w:tl2br w:val="nil"/>
              <w:tr2bl w:val="nil"/>
            </w:tcBorders>
            <w:noWrap w:val="0"/>
            <w:vAlign w:val="center"/>
          </w:tcPr>
          <w:p w14:paraId="247B9EA6">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3AD04C5F">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8F1698">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指标2：工程成本控制合规性</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A1C81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 合规</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648B4D">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 合规</w:t>
            </w:r>
          </w:p>
        </w:tc>
      </w:tr>
      <w:tr w14:paraId="2FEB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restart"/>
            <w:tcBorders>
              <w:top w:val="single" w:color="auto" w:sz="4" w:space="0"/>
              <w:left w:val="single" w:color="auto" w:sz="4" w:space="0"/>
              <w:right w:val="single" w:color="auto" w:sz="4" w:space="0"/>
              <w:tl2br w:val="nil"/>
              <w:tr2bl w:val="nil"/>
            </w:tcBorders>
            <w:noWrap w:val="0"/>
            <w:vAlign w:val="center"/>
          </w:tcPr>
          <w:p w14:paraId="7C542C48">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效益</w:t>
            </w: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1FAFB2F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经济效益</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0AB70F">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指标1：建设成本预算控制率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2DA275">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全年建设支出不超批复预算</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94000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全年建设支出不超批复预算</w:t>
            </w:r>
          </w:p>
        </w:tc>
      </w:tr>
      <w:tr w14:paraId="60372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0CC06333">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6B2D9354">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F88DA8">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指标2：带动务工就业人数</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CA388A">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≥200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213B2F">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≥200</w:t>
            </w:r>
          </w:p>
        </w:tc>
      </w:tr>
      <w:tr w14:paraId="0F7D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3DAE1C67">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1FAC088A">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社会效益</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310C29">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指标1：安置预备保障户数</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9BCCF2">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324</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99D9D3">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324</w:t>
            </w:r>
          </w:p>
        </w:tc>
      </w:tr>
      <w:tr w14:paraId="6A5B4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6048E6C9">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13D3716C">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8C19C5">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指标2：住房保障兜底作用</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70BA04">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有效发挥</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1E2F3F">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有效发挥</w:t>
            </w:r>
          </w:p>
        </w:tc>
      </w:tr>
      <w:tr w14:paraId="642B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04892654">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1392E9A3">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生态效益</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7F38EC">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指标1：施工现场环保达标率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677BF3">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248FC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7AF3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1A27EA84">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64631C75">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8CF87D">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指标2：施工废弃物规范处置率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B1437">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DC0AF0">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r>
      <w:tr w14:paraId="2630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right w:val="single" w:color="auto" w:sz="4" w:space="0"/>
              <w:tl2br w:val="nil"/>
              <w:tr2bl w:val="nil"/>
            </w:tcBorders>
            <w:noWrap w:val="0"/>
            <w:vAlign w:val="center"/>
          </w:tcPr>
          <w:p w14:paraId="23A85B3A">
            <w:pPr>
              <w:spacing w:beforeLines="0" w:afterLines="0"/>
              <w:jc w:val="center"/>
              <w:rPr>
                <w:rFonts w:hint="eastAsia" w:ascii="Times New Roman" w:hAnsi="Times New Roman" w:eastAsia="宋体" w:cs="宋体"/>
                <w:color w:val="000000"/>
                <w:sz w:val="21"/>
                <w:szCs w:val="21"/>
              </w:rPr>
            </w:pPr>
          </w:p>
        </w:tc>
        <w:tc>
          <w:tcPr>
            <w:tcW w:w="1136" w:type="dxa"/>
            <w:vMerge w:val="restart"/>
            <w:tcBorders>
              <w:top w:val="single" w:color="auto" w:sz="4" w:space="0"/>
              <w:left w:val="single" w:color="auto" w:sz="4" w:space="0"/>
              <w:right w:val="single" w:color="auto" w:sz="4" w:space="0"/>
              <w:tl2br w:val="nil"/>
              <w:tr2bl w:val="nil"/>
            </w:tcBorders>
            <w:noWrap w:val="0"/>
            <w:vAlign w:val="center"/>
          </w:tcPr>
          <w:p w14:paraId="01DD741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可持续发展</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1CD75C">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指标1：安置群众长效居住保障率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25776">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F1042B">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4</w:t>
            </w:r>
          </w:p>
        </w:tc>
      </w:tr>
      <w:tr w14:paraId="339D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vMerge w:val="continue"/>
            <w:tcBorders>
              <w:left w:val="single" w:color="auto" w:sz="4" w:space="0"/>
              <w:bottom w:val="single" w:color="auto" w:sz="4" w:space="0"/>
              <w:right w:val="single" w:color="auto" w:sz="4" w:space="0"/>
              <w:tl2br w:val="nil"/>
              <w:tr2bl w:val="nil"/>
            </w:tcBorders>
            <w:noWrap w:val="0"/>
            <w:vAlign w:val="center"/>
          </w:tcPr>
          <w:p w14:paraId="03CFDDA2">
            <w:pPr>
              <w:spacing w:beforeLines="0" w:afterLines="0"/>
              <w:jc w:val="center"/>
              <w:rPr>
                <w:rFonts w:hint="eastAsia" w:ascii="Times New Roman" w:hAnsi="Times New Roman" w:eastAsia="宋体" w:cs="宋体"/>
                <w:color w:val="000000"/>
                <w:sz w:val="21"/>
                <w:szCs w:val="21"/>
              </w:rPr>
            </w:pPr>
          </w:p>
        </w:tc>
        <w:tc>
          <w:tcPr>
            <w:tcW w:w="1136" w:type="dxa"/>
            <w:vMerge w:val="continue"/>
            <w:tcBorders>
              <w:left w:val="single" w:color="auto" w:sz="4" w:space="0"/>
              <w:bottom w:val="single" w:color="auto" w:sz="4" w:space="0"/>
              <w:right w:val="single" w:color="auto" w:sz="4" w:space="0"/>
              <w:tl2br w:val="nil"/>
              <w:tr2bl w:val="nil"/>
            </w:tcBorders>
            <w:noWrap w:val="0"/>
            <w:vAlign w:val="center"/>
          </w:tcPr>
          <w:p w14:paraId="0B254065">
            <w:pPr>
              <w:spacing w:beforeLines="0" w:afterLines="0"/>
              <w:jc w:val="center"/>
              <w:rPr>
                <w:rFonts w:hint="eastAsia" w:ascii="Times New Roman" w:hAnsi="Times New Roman" w:eastAsia="宋体" w:cs="宋体"/>
                <w:color w:val="000000"/>
                <w:sz w:val="21"/>
                <w:szCs w:val="21"/>
              </w:rPr>
            </w:pP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ECA60A">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指标2：区域经济社会长效带动达标率</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D6B156">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100%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DE41C0">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4</w:t>
            </w:r>
          </w:p>
        </w:tc>
      </w:tr>
      <w:tr w14:paraId="0EC95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7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679BC0">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满意度</w:t>
            </w:r>
          </w:p>
        </w:tc>
        <w:tc>
          <w:tcPr>
            <w:tcW w:w="11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AF1E8B">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服务对象</w:t>
            </w:r>
          </w:p>
          <w:p w14:paraId="30E036E1">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满意度</w:t>
            </w:r>
          </w:p>
        </w:tc>
        <w:tc>
          <w:tcPr>
            <w:tcW w:w="380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3861F1">
            <w:pPr>
              <w:spacing w:beforeLines="0" w:afterLines="0"/>
              <w:jc w:val="left"/>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指标1：项目相关方综合满意度</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EBEDCD">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≥90%</w:t>
            </w:r>
          </w:p>
        </w:tc>
        <w:tc>
          <w:tcPr>
            <w:tcW w:w="1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B90B3E">
            <w:pPr>
              <w:spacing w:beforeLines="0" w:afterLines="0"/>
              <w:jc w:val="center"/>
              <w:rPr>
                <w:rFonts w:hint="eastAsia" w:ascii="Times New Roman" w:hAnsi="Times New Roman" w:eastAsia="宋体" w:cs="宋体"/>
                <w:color w:val="000000"/>
                <w:sz w:val="21"/>
                <w:szCs w:val="21"/>
              </w:rPr>
            </w:pPr>
            <w:r>
              <w:rPr>
                <w:rFonts w:hint="eastAsia" w:ascii="Times New Roman" w:hAnsi="Times New Roman" w:eastAsia="宋体" w:cs="宋体"/>
                <w:color w:val="000000"/>
                <w:sz w:val="21"/>
                <w:szCs w:val="21"/>
              </w:rPr>
              <w:t>95%</w:t>
            </w:r>
          </w:p>
        </w:tc>
      </w:tr>
    </w:tbl>
    <w:p w14:paraId="5CE4F1D6">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hint="eastAsia" w:ascii="Times New Roman" w:hAnsi="Times New Roman" w:eastAsia="宋体" w:cs="宋体"/>
          <w:sz w:val="21"/>
          <w:szCs w:val="21"/>
          <w:lang w:eastAsia="zh-CN"/>
        </w:rPr>
      </w:pPr>
    </w:p>
    <w:sectPr>
      <w:type w:val="continuous"/>
      <w:pgSz w:w="11910"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wiss"/>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86F"/>
    <w:rsid w:val="00027842"/>
    <w:rsid w:val="000F0010"/>
    <w:rsid w:val="001076FD"/>
    <w:rsid w:val="00112A3C"/>
    <w:rsid w:val="0012335B"/>
    <w:rsid w:val="001D43CE"/>
    <w:rsid w:val="001E1F08"/>
    <w:rsid w:val="001F5652"/>
    <w:rsid w:val="002034C4"/>
    <w:rsid w:val="00223670"/>
    <w:rsid w:val="002F39B9"/>
    <w:rsid w:val="00317F35"/>
    <w:rsid w:val="003D4D43"/>
    <w:rsid w:val="00412A90"/>
    <w:rsid w:val="00427AA3"/>
    <w:rsid w:val="00453872"/>
    <w:rsid w:val="00485FCA"/>
    <w:rsid w:val="00496584"/>
    <w:rsid w:val="004B1555"/>
    <w:rsid w:val="004E3E98"/>
    <w:rsid w:val="004F2889"/>
    <w:rsid w:val="00541FD2"/>
    <w:rsid w:val="0055497B"/>
    <w:rsid w:val="0058181F"/>
    <w:rsid w:val="005C5968"/>
    <w:rsid w:val="005D094F"/>
    <w:rsid w:val="005D61F8"/>
    <w:rsid w:val="006032DC"/>
    <w:rsid w:val="006A0286"/>
    <w:rsid w:val="006F1257"/>
    <w:rsid w:val="006F2AB8"/>
    <w:rsid w:val="00705B52"/>
    <w:rsid w:val="0072674E"/>
    <w:rsid w:val="007416BA"/>
    <w:rsid w:val="0075652D"/>
    <w:rsid w:val="00784065"/>
    <w:rsid w:val="007A754E"/>
    <w:rsid w:val="00830C91"/>
    <w:rsid w:val="008C735A"/>
    <w:rsid w:val="008D7527"/>
    <w:rsid w:val="008F6FC9"/>
    <w:rsid w:val="00926E98"/>
    <w:rsid w:val="0095504B"/>
    <w:rsid w:val="009B2D68"/>
    <w:rsid w:val="00A14DE2"/>
    <w:rsid w:val="00A72387"/>
    <w:rsid w:val="00A863A2"/>
    <w:rsid w:val="00AA24DC"/>
    <w:rsid w:val="00AC69E3"/>
    <w:rsid w:val="00B14C89"/>
    <w:rsid w:val="00B33955"/>
    <w:rsid w:val="00BD1F01"/>
    <w:rsid w:val="00CB64D3"/>
    <w:rsid w:val="00D20830"/>
    <w:rsid w:val="00D71C46"/>
    <w:rsid w:val="00D855DD"/>
    <w:rsid w:val="00D85F96"/>
    <w:rsid w:val="00DE067D"/>
    <w:rsid w:val="00DF053C"/>
    <w:rsid w:val="00E1011A"/>
    <w:rsid w:val="00E70A55"/>
    <w:rsid w:val="00EB03FD"/>
    <w:rsid w:val="00ED06B2"/>
    <w:rsid w:val="00EF65E3"/>
    <w:rsid w:val="00F161C4"/>
    <w:rsid w:val="00F35A70"/>
    <w:rsid w:val="00F4202D"/>
    <w:rsid w:val="00FB5E7E"/>
    <w:rsid w:val="00FC405A"/>
    <w:rsid w:val="00FC7877"/>
    <w:rsid w:val="02B816EA"/>
    <w:rsid w:val="1B4D7142"/>
    <w:rsid w:val="2A7925F0"/>
    <w:rsid w:val="2AC87900"/>
    <w:rsid w:val="331217FF"/>
    <w:rsid w:val="5C4E1BEB"/>
    <w:rsid w:val="63CC1360"/>
    <w:rsid w:val="68544A0C"/>
    <w:rsid w:val="6B7C455F"/>
    <w:rsid w:val="79066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100"/>
      <w:outlineLvl w:val="0"/>
    </w:pPr>
    <w:rPr>
      <w:rFonts w:ascii="宋体" w:hAnsi="宋体" w:eastAsia="宋体"/>
      <w:sz w:val="36"/>
      <w:szCs w:val="36"/>
    </w:rPr>
  </w:style>
  <w:style w:type="paragraph" w:styleId="3">
    <w:name w:val="heading 2"/>
    <w:basedOn w:val="1"/>
    <w:next w:val="1"/>
    <w:qFormat/>
    <w:uiPriority w:val="1"/>
    <w:pPr>
      <w:ind w:left="-21" w:firstLine="2592"/>
      <w:outlineLvl w:val="1"/>
    </w:pPr>
    <w:rPr>
      <w:rFonts w:ascii="宋体" w:hAnsi="宋体" w:eastAsia="宋体"/>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207"/>
      <w:ind w:left="120"/>
    </w:pPr>
    <w:rPr>
      <w:rFonts w:ascii="宋体" w:hAnsi="宋体" w:eastAsia="宋体"/>
      <w:sz w:val="30"/>
      <w:szCs w:val="30"/>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paragraph" w:customStyle="1" w:styleId="13">
    <w:name w:val="Default"/>
    <w:qFormat/>
    <w:uiPriority w:val="0"/>
    <w:pPr>
      <w:widowControl w:val="0"/>
      <w:autoSpaceDE w:val="0"/>
      <w:autoSpaceDN w:val="0"/>
      <w:adjustRightInd w:val="0"/>
    </w:pPr>
    <w:rPr>
      <w:rFonts w:ascii="方正黑体_GBK" w:hAnsi="方正黑体_GBK" w:cs="方正黑体_GBK" w:eastAsiaTheme="minorEastAsia"/>
      <w:color w:val="000000"/>
      <w:sz w:val="24"/>
      <w:szCs w:val="24"/>
      <w:lang w:val="en-US" w:eastAsia="en-US" w:bidi="ar-SA"/>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2898</Words>
  <Characters>2996</Characters>
  <Lines>36</Lines>
  <Paragraphs>10</Paragraphs>
  <TotalTime>15</TotalTime>
  <ScaleCrop>false</ScaleCrop>
  <LinksUpToDate>false</LinksUpToDate>
  <CharactersWithSpaces>2997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2021-08-19T09:37:00Z</dcterms:created>
  <dc:creator>张肖军(拟稿)</dc:creator>
  <cp:lastModifiedBy>yEs、先生</cp:lastModifiedBy>
  <dcterms:modified xsi:type="dcterms:W3CDTF">2026-05-21T01:43:06Z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2052-12.1.0.25865</vt:lpwstr>
  </property>
  <property fmtid="{D5CDD505-2E9C-101B-9397-08002B2CF9AE}" pid="6" name="ICV">
    <vt:lpwstr>6110B7415DC740C58185CD86345CBEB1</vt:lpwstr>
  </property>
  <property fmtid="{D5CDD505-2E9C-101B-9397-08002B2CF9AE}" pid="7" name="KSOTemplateDocerSaveRecord">
    <vt:lpwstr>eyJoZGlkIjoiZTZkN2M1MmMzYzdhMDFiZjAyNDVjYTUwNmM5OWJjOWMiLCJ1c2VySWQiOiI0NTk2MjIyMjEifQ==</vt:lpwstr>
  </property>
</Properties>
</file>