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E9D49">
      <w:pPr>
        <w:keepNext w:val="0"/>
        <w:keepLines w:val="0"/>
        <w:pageBreakBefore w:val="0"/>
        <w:widowControl w:val="0"/>
        <w:kinsoku/>
        <w:wordWrap/>
        <w:overflowPunct/>
        <w:topLinePunct w:val="0"/>
        <w:autoSpaceDE/>
        <w:autoSpaceDN/>
        <w:bidi w:val="0"/>
        <w:adjustRightInd/>
        <w:snapToGrid/>
        <w:spacing w:before="9" w:line="574" w:lineRule="exact"/>
        <w:ind w:left="12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附件</w:t>
      </w:r>
      <w:r>
        <w:rPr>
          <w:rFonts w:hint="eastAsia" w:ascii="Times New Roman" w:hAnsi="Times New Roman" w:eastAsia="方正黑体_GBK" w:cs="Times New Roman"/>
          <w:sz w:val="32"/>
          <w:szCs w:val="32"/>
          <w:lang w:val="en-US" w:eastAsia="zh-CN"/>
        </w:rPr>
        <w:t>7</w:t>
      </w:r>
    </w:p>
    <w:p w14:paraId="165C265F">
      <w:pPr>
        <w:keepNext w:val="0"/>
        <w:keepLines w:val="0"/>
        <w:pageBreakBefore w:val="0"/>
        <w:widowControl w:val="0"/>
        <w:kinsoku/>
        <w:wordWrap/>
        <w:overflowPunct/>
        <w:topLinePunct w:val="0"/>
        <w:autoSpaceDE/>
        <w:autoSpaceDN/>
        <w:bidi w:val="0"/>
        <w:adjustRightInd/>
        <w:snapToGrid/>
        <w:spacing w:before="2" w:line="574" w:lineRule="exact"/>
        <w:textAlignment w:val="auto"/>
        <w:rPr>
          <w:rFonts w:ascii="Times New Roman" w:hAnsi="Times New Roman" w:eastAsia="宋体" w:cs="宋体"/>
          <w:sz w:val="27"/>
          <w:szCs w:val="27"/>
          <w:lang w:eastAsia="zh-CN"/>
        </w:rPr>
      </w:pPr>
    </w:p>
    <w:p w14:paraId="31723C6C">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rFonts w:ascii="Times New Roman" w:hAnsi="Times New Roman" w:eastAsia="方正小标宋_GBK" w:cs="宋体"/>
          <w:sz w:val="44"/>
          <w:szCs w:val="44"/>
          <w:lang w:eastAsia="zh-CN"/>
        </w:rPr>
      </w:pPr>
      <w:r>
        <w:rPr>
          <w:rFonts w:hint="eastAsia" w:ascii="Times New Roman" w:hAnsi="Times New Roman" w:eastAsia="方正小标宋_GBK"/>
          <w:sz w:val="44"/>
          <w:szCs w:val="44"/>
          <w:lang w:eastAsia="zh-CN"/>
        </w:rPr>
        <w:t>江苏省政府专项债券项目绩效自评价报告</w:t>
      </w:r>
    </w:p>
    <w:p w14:paraId="5B5E261A">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黑体"/>
          <w:sz w:val="30"/>
          <w:szCs w:val="30"/>
          <w:lang w:eastAsia="zh-CN"/>
        </w:rPr>
      </w:pPr>
      <w:r>
        <w:rPr>
          <w:rFonts w:hint="eastAsia" w:ascii="Times New Roman" w:hAnsi="Times New Roman" w:eastAsia="黑体"/>
          <w:sz w:val="30"/>
          <w:szCs w:val="30"/>
          <w:lang w:eastAsia="zh-CN"/>
        </w:rPr>
        <w:t>一、项目情况</w:t>
      </w:r>
    </w:p>
    <w:p w14:paraId="3EFFCE37">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ascii="Times New Roman" w:hAnsi="Times New Roman" w:eastAsia="方正仿宋_GBK"/>
          <w:sz w:val="30"/>
          <w:szCs w:val="30"/>
          <w:lang w:eastAsia="zh-CN"/>
        </w:rPr>
      </w:pPr>
      <w:r>
        <w:rPr>
          <w:rFonts w:hint="eastAsia" w:ascii="Times New Roman" w:hAnsi="Times New Roman" w:eastAsia="方正仿宋_GBK"/>
          <w:spacing w:val="-4"/>
          <w:sz w:val="30"/>
          <w:szCs w:val="30"/>
          <w:lang w:eastAsia="zh-CN"/>
        </w:rPr>
        <w:t>（一）项目概况。</w:t>
      </w:r>
    </w:p>
    <w:p w14:paraId="162B1D65">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1.项目名称：春光苑安置小区一期标段（北区）</w:t>
      </w:r>
    </w:p>
    <w:p w14:paraId="53FDEB8C">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2.项目背景：近年来，钱桥街道为加快实现城乡发展一体化，将中心城镇建设、自然村撤并与改革传统农民宅基地使用制度相结合，统一建设多层、高层农民安置小区，将农民搬到城镇集中居住，享受社会保障，实行社区化集中管理，加快了区域城市化进程。为妥善安置近年来因钱桥街道城市建设而被征收的拆迁户，保障拆迁户的合法居住权益，无锡市惠山区钱桥街道设立了春光苑安置小区一期标段（北区）项目。</w:t>
      </w:r>
    </w:p>
    <w:p w14:paraId="3FDF7828">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3.主要内容：项目用地总面积18657平方米，规划总建筑面积51046平方米，其中地上建筑面积39153平方米，地下建筑面积11893平方米。工程内容包括地上建筑、地下建筑及给排水、电力、通信、消防、绿化等配套设施，包含414套住宅，四栋住宅楼，一栋变电所，一个地下室。</w:t>
      </w:r>
    </w:p>
    <w:p w14:paraId="40F52997">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4.实施方式：本项目严格按照政府投资项目及地方政府专项债券管理相关规定组织实施，项目实施坚持合规建设、规范管理、专款专用、严控质量的原则。本项目采用建设单位统筹管理、公开招标择优遴选参建单位、多主体协同监管的建设模式，严格履行立项批复、规划审批、工程招投标、施工建设、工程监理等法定基本建设程序。依规确定施工、监理、勘察、设计及第三方质量检测机构，明确各参建主体工作职责与管控边界，搭建标准化、规范化工程管控体系，确保项目建设全程合法合规。</w:t>
      </w:r>
    </w:p>
    <w:p w14:paraId="3C118932">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5.资金投入和使用情况:本项目预计总投资2.6687亿元，资金来源为财政安排资金及申请地方政府专项债券资金。其中，财政安排资金1.1087亿元，占比41.54%；申请专项债券资金为1.56亿元，占比58.46%。2025年度申请专项债券资金0.7亿元，已严格按照规定用途使用完毕；2026年度申请专项债券资金0.86亿元，目前资金已申请到位，正结合项目施工进度规范使用。</w:t>
      </w:r>
    </w:p>
    <w:p w14:paraId="311C419A">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方正仿宋_GBK"/>
          <w:sz w:val="30"/>
          <w:szCs w:val="30"/>
          <w:lang w:eastAsia="zh-CN"/>
        </w:rPr>
      </w:pPr>
      <w:r>
        <w:rPr>
          <w:rFonts w:hint="eastAsia" w:ascii="Times New Roman" w:hAnsi="Times New Roman" w:eastAsia="方正仿宋_GBK"/>
          <w:sz w:val="30"/>
          <w:szCs w:val="30"/>
          <w:lang w:eastAsia="zh-CN"/>
        </w:rPr>
        <w:t>（二）绩效目标。</w:t>
      </w:r>
    </w:p>
    <w:p w14:paraId="6D30C4A5">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1.总体目标。旨在妥善安置片区拆迁群众。通过建设安置住宅及配套设施，完善基础生活配套，改善人居环境。严控工程质量与建设成本，规范资金使用，切实保障群众居住权益，提升区域城市面貌，发挥民生社会效益。</w:t>
      </w:r>
    </w:p>
    <w:p w14:paraId="07636529">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2.阶段性目标。一是完成4栋安置住房主体结构封顶，主体结构工程验收合格率100%，严格执行工程建设强制性标准；二是严格执行财政资金管理规定，实现专款专用、合规支付、成本可控。</w:t>
      </w:r>
    </w:p>
    <w:p w14:paraId="55FA1B56">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黑体"/>
          <w:sz w:val="30"/>
          <w:szCs w:val="30"/>
          <w:lang w:eastAsia="zh-CN"/>
        </w:rPr>
      </w:pPr>
      <w:r>
        <w:rPr>
          <w:rFonts w:hint="eastAsia" w:ascii="Times New Roman" w:hAnsi="Times New Roman" w:eastAsia="黑体"/>
          <w:sz w:val="30"/>
          <w:szCs w:val="30"/>
          <w:lang w:eastAsia="zh-CN"/>
        </w:rPr>
        <w:t>二、评价情况</w:t>
      </w:r>
    </w:p>
    <w:p w14:paraId="1CA7C1A9">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eastAsia="zh-CN"/>
        </w:rPr>
        <w:t>（一）项目特点分析。</w:t>
      </w:r>
    </w:p>
    <w:p w14:paraId="1497037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eastAsia="zh-CN"/>
        </w:rPr>
        <w:t>结合专项债券绩效评价指标体系，现从决策、过程、产出、效益四个维度深入剖析本项目特点，明确各项绩效评价考核要点。一是项目决策科学合规，本项目为公益性保障性安置住房工程，契合区域城市更新及民生保障发展规划，立项依据充足，前期审批流程完整，选址布局、建设规模均经过科学论证，决策规范性较高，适配决策维度评价要求。二是建设过程管控规范，项目严格遵守基本建设程序，依法开展招投标工作，参建单位权责明晰；资金实行专账核算、专款专用，拨付审批流程严谨。同时项目实行全过程施工管控，对工程质量、施工安全、建设进度实施动态监管，满足过程维度考核标准。三是项目产出清晰可量化，项目建设内容明确，包含住宅楼、配套用房及地下室，建设标准统一规范，工程实体产出直观。可通过工程完工率、质量合格率、配套设施完备度等硬性指标开展量化考核，产出评价客观性强。四是综合社会效益突出，项目聚焦拆迁群众住房安置需求，建成后可有效解决片区拆迁居民居住问题，优化人居环境，完善区域居住配套，民生普惠属性鲜明，社会效益稳定持久，适配效益维度绩效评价。</w:t>
      </w:r>
    </w:p>
    <w:p w14:paraId="2E1A12E4">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val="en-US" w:eastAsia="zh-CN"/>
        </w:rPr>
      </w:pPr>
      <w:r>
        <w:rPr>
          <w:rFonts w:hint="eastAsia" w:ascii="Times New Roman" w:hAnsi="Times New Roman" w:eastAsia="方正仿宋_GBK"/>
          <w:spacing w:val="-4"/>
          <w:sz w:val="30"/>
          <w:szCs w:val="30"/>
          <w:lang w:eastAsia="zh-CN"/>
        </w:rPr>
        <w:t>（二）评价思路方法。</w:t>
      </w:r>
    </w:p>
    <w:p w14:paraId="0E03640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val="en-US" w:eastAsia="zh-CN"/>
        </w:rPr>
        <w:t>1.</w:t>
      </w:r>
      <w:r>
        <w:rPr>
          <w:rFonts w:hint="eastAsia" w:ascii="Times New Roman" w:hAnsi="Times New Roman" w:eastAsia="方正仿宋_GBK"/>
          <w:spacing w:val="-4"/>
          <w:sz w:val="30"/>
          <w:szCs w:val="30"/>
          <w:lang w:eastAsia="zh-CN"/>
        </w:rPr>
        <w:t>评价原则。本次绩效评价遵循客观公正、科学规范、全面系统、注重实效的原则，实事求是反映项目建设管理实况，统筹考量项目全流程情况，明确评判标准，保障评价结果真实公允。</w:t>
      </w:r>
    </w:p>
    <w:p w14:paraId="4B543DC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val="en-US" w:eastAsia="zh-CN"/>
        </w:rPr>
        <w:t>2.</w:t>
      </w:r>
      <w:r>
        <w:rPr>
          <w:rFonts w:hint="eastAsia" w:ascii="Times New Roman" w:hAnsi="Times New Roman" w:eastAsia="方正仿宋_GBK"/>
          <w:spacing w:val="-4"/>
          <w:sz w:val="30"/>
          <w:szCs w:val="30"/>
          <w:lang w:eastAsia="zh-CN"/>
        </w:rPr>
        <w:t>评价重点关注内容。结合项目特性及评价体系，本次评价重点核查项目立项审批等决策合规性；核查招投标、施工管控、资金使用等建设流程；考核建设规模、工程质量等产出完成情况；研判项目安置保障、人居改善等社会效益。</w:t>
      </w:r>
    </w:p>
    <w:p w14:paraId="70E9EF7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val="en-US" w:eastAsia="zh-CN"/>
        </w:rPr>
        <w:t>3.</w:t>
      </w:r>
      <w:r>
        <w:rPr>
          <w:rFonts w:hint="eastAsia" w:ascii="Times New Roman" w:hAnsi="Times New Roman" w:eastAsia="方正仿宋_GBK"/>
          <w:spacing w:val="-4"/>
          <w:sz w:val="30"/>
          <w:szCs w:val="30"/>
          <w:lang w:eastAsia="zh-CN"/>
        </w:rPr>
        <w:t>评价方法。本次评价综合采用资料审阅法、现场核查法、比较分析法。查阅项目批复、施工、财务等资料，结合现场实地踏勘，对照绩效目标与行业标准，客观评定项目绩效水平。</w:t>
      </w:r>
    </w:p>
    <w:p w14:paraId="5DA6777A">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val="en-US" w:eastAsia="zh-CN"/>
        </w:rPr>
        <w:t>4.</w:t>
      </w:r>
      <w:r>
        <w:rPr>
          <w:rFonts w:hint="eastAsia" w:ascii="Times New Roman" w:hAnsi="Times New Roman" w:eastAsia="方正仿宋_GBK"/>
          <w:spacing w:val="-4"/>
          <w:sz w:val="30"/>
          <w:szCs w:val="30"/>
          <w:lang w:eastAsia="zh-CN"/>
        </w:rPr>
        <w:t>评价标准。本次评价以基建及专项债券相关法律法规为法定标准，以项目批复文件为目标标准，以绩效指标评分细则为考核标准，逐项量化打分，得出客观评价结论。</w:t>
      </w:r>
    </w:p>
    <w:p w14:paraId="61EEDC4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pacing w:val="-4"/>
          <w:sz w:val="30"/>
          <w:szCs w:val="30"/>
          <w:lang w:eastAsia="zh-CN"/>
        </w:rPr>
        <w:t>（三）评价工作情况。</w:t>
      </w:r>
    </w:p>
    <w:p w14:paraId="6DB713E0">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1.项目情况核查。本次评价采用资料审查结合现场核查的方式，梳理项目审批、施工、财务、验收等资料，同时实地踏勘现场，核验工程建设、资金使用手续的合规性，确认项目实施内容与批复要求一致。</w:t>
      </w:r>
    </w:p>
    <w:p w14:paraId="3987CABE">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2.社会测评情况。本次评价采用问卷调查方式开展社会测评，调查范围涵盖施工单位、监理单位、勘察单位等，重点调研工程建设质量、现场管理等内容。调查流程规范，样本真实有效，为项目社会效益评价提供客观依据。</w:t>
      </w:r>
    </w:p>
    <w:p w14:paraId="2FEC1E9C">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方正仿宋_GBK"/>
          <w:sz w:val="30"/>
          <w:szCs w:val="30"/>
          <w:lang w:eastAsia="zh-CN"/>
        </w:rPr>
      </w:pPr>
      <w:r>
        <w:rPr>
          <w:rFonts w:hint="eastAsia" w:ascii="Times New Roman" w:hAnsi="Times New Roman" w:eastAsia="方正仿宋_GBK"/>
          <w:sz w:val="30"/>
          <w:szCs w:val="30"/>
          <w:lang w:eastAsia="zh-CN"/>
        </w:rPr>
        <w:t>（四）绩效评价结论。</w:t>
      </w:r>
    </w:p>
    <w:p w14:paraId="52E3C685">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经自我评价，2025年度春光苑安置小区一期标段（北区）项目绩效得分为93</w:t>
      </w:r>
      <w:bookmarkStart w:id="0" w:name="_GoBack"/>
      <w:bookmarkEnd w:id="0"/>
      <w:r>
        <w:rPr>
          <w:rFonts w:hint="eastAsia" w:ascii="Times New Roman" w:hAnsi="Times New Roman" w:eastAsia="方正仿宋_GBK"/>
          <w:sz w:val="30"/>
          <w:szCs w:val="30"/>
          <w:lang w:val="en-US" w:eastAsia="zh-CN"/>
        </w:rPr>
        <w:t>分，评价等级为优秀。</w:t>
      </w:r>
    </w:p>
    <w:p w14:paraId="678984E6">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方正仿宋_GBK"/>
          <w:spacing w:val="-15"/>
          <w:sz w:val="30"/>
          <w:szCs w:val="30"/>
          <w:lang w:eastAsia="zh-CN"/>
        </w:rPr>
      </w:pPr>
      <w:r>
        <w:rPr>
          <w:rFonts w:hint="eastAsia" w:ascii="Times New Roman" w:hAnsi="Times New Roman" w:eastAsia="黑体"/>
          <w:sz w:val="30"/>
          <w:szCs w:val="30"/>
          <w:lang w:eastAsia="zh-CN"/>
        </w:rPr>
        <w:t>三、项目绩效。</w:t>
      </w:r>
    </w:p>
    <w:p w14:paraId="4C00ADA1">
      <w:pPr>
        <w:keepNext w:val="0"/>
        <w:keepLines w:val="0"/>
        <w:pageBreakBefore w:val="0"/>
        <w:widowControl w:val="0"/>
        <w:kinsoku/>
        <w:wordWrap/>
        <w:overflowPunct/>
        <w:topLinePunct w:val="0"/>
        <w:autoSpaceDE/>
        <w:autoSpaceDN/>
        <w:bidi w:val="0"/>
        <w:adjustRightInd/>
        <w:snapToGrid/>
        <w:spacing w:line="574" w:lineRule="exact"/>
        <w:ind w:firstLine="540" w:firstLineChars="200"/>
        <w:jc w:val="both"/>
        <w:textAlignment w:val="auto"/>
        <w:rPr>
          <w:rFonts w:hint="eastAsia" w:ascii="Times New Roman" w:hAnsi="Times New Roman" w:eastAsia="方正仿宋_GBK"/>
          <w:spacing w:val="-15"/>
          <w:sz w:val="30"/>
          <w:szCs w:val="30"/>
          <w:lang w:eastAsia="zh-CN"/>
        </w:rPr>
      </w:pPr>
      <w:r>
        <w:rPr>
          <w:rFonts w:hint="eastAsia" w:ascii="Times New Roman" w:hAnsi="Times New Roman" w:eastAsia="方正仿宋_GBK"/>
          <w:spacing w:val="-15"/>
          <w:sz w:val="30"/>
          <w:szCs w:val="30"/>
          <w:lang w:eastAsia="zh-CN"/>
        </w:rPr>
        <w:t>工程管理方面，全过程严格落实各项管理制度，施工组织、质量安全管控等环节规范有序，监理提出的整改意见均能及时闭环落实，未发生重大安全质量问题，管控水平符合建设要求。建设进度方面，项目按年度计划稳步推进，已顺利达成预期建设进度目标，楼栋主体、工程量等关键建设节点均按期完成，为后续验收交付奠定了扎实基础。资金管理方面，项目资金拨付及时高效，财政资金与专项债券资金均严格按规定用途使用，预算执行到位，未出现资金闲置、挤占挪用等违规情形，资金使用合规性得到有效保障。整体来看，项目各项管理与建设目标推进有序，绩效表现符合预期。</w:t>
      </w:r>
    </w:p>
    <w:p w14:paraId="10B756B0">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方正仿宋_GBK"/>
          <w:sz w:val="30"/>
          <w:szCs w:val="30"/>
          <w:lang w:eastAsia="zh-CN"/>
        </w:rPr>
      </w:pPr>
      <w:r>
        <w:rPr>
          <w:rFonts w:hint="eastAsia" w:ascii="Times New Roman" w:hAnsi="Times New Roman" w:eastAsia="黑体"/>
          <w:sz w:val="30"/>
          <w:szCs w:val="30"/>
          <w:lang w:eastAsia="zh-CN"/>
        </w:rPr>
        <w:t>四、存在问题。</w:t>
      </w:r>
    </w:p>
    <w:p w14:paraId="7C2EECB0">
      <w:pPr>
        <w:keepNext w:val="0"/>
        <w:keepLines w:val="0"/>
        <w:pageBreakBefore w:val="0"/>
        <w:widowControl w:val="0"/>
        <w:kinsoku/>
        <w:wordWrap/>
        <w:overflowPunct/>
        <w:topLinePunct w:val="0"/>
        <w:autoSpaceDE/>
        <w:autoSpaceDN/>
        <w:bidi w:val="0"/>
        <w:adjustRightInd/>
        <w:snapToGrid/>
        <w:spacing w:line="574" w:lineRule="exact"/>
        <w:ind w:firstLine="540" w:firstLineChars="200"/>
        <w:jc w:val="both"/>
        <w:textAlignment w:val="auto"/>
        <w:rPr>
          <w:rFonts w:hint="eastAsia" w:ascii="Times New Roman" w:hAnsi="Times New Roman" w:eastAsia="方正仿宋_GBK"/>
          <w:spacing w:val="-15"/>
          <w:sz w:val="30"/>
          <w:szCs w:val="30"/>
          <w:lang w:eastAsia="zh-CN"/>
        </w:rPr>
      </w:pPr>
      <w:r>
        <w:rPr>
          <w:rFonts w:hint="eastAsia" w:ascii="Times New Roman" w:hAnsi="Times New Roman" w:eastAsia="方正仿宋_GBK"/>
          <w:spacing w:val="-15"/>
          <w:sz w:val="30"/>
          <w:szCs w:val="30"/>
          <w:lang w:eastAsia="zh-CN"/>
        </w:rPr>
        <w:t>项目整体绩效推进有序，工程管理规范到位，但施工过程质量与安全文明管控仍存在薄弱环节，现场部分工序质量细节把控不够严谨，安全文明施工管理力度有待加强，反映出过程管控的精细化水平仍有提升空间，需进一步强化现场管控，切实提升施工质量与安全文明管理成效。</w:t>
      </w:r>
    </w:p>
    <w:p w14:paraId="20D69F26">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黑体"/>
          <w:sz w:val="30"/>
          <w:szCs w:val="30"/>
          <w:lang w:eastAsia="zh-CN"/>
        </w:rPr>
      </w:pPr>
      <w:r>
        <w:rPr>
          <w:rFonts w:hint="eastAsia" w:ascii="Times New Roman" w:hAnsi="Times New Roman" w:eastAsia="黑体"/>
          <w:sz w:val="30"/>
          <w:szCs w:val="30"/>
          <w:lang w:eastAsia="zh-CN"/>
        </w:rPr>
        <w:t xml:space="preserve">五、有关建议。 </w:t>
      </w:r>
    </w:p>
    <w:p w14:paraId="286C1E52">
      <w:pPr>
        <w:keepNext w:val="0"/>
        <w:keepLines w:val="0"/>
        <w:pageBreakBefore w:val="0"/>
        <w:widowControl w:val="0"/>
        <w:kinsoku/>
        <w:wordWrap/>
        <w:overflowPunct/>
        <w:topLinePunct w:val="0"/>
        <w:autoSpaceDE/>
        <w:autoSpaceDN/>
        <w:bidi w:val="0"/>
        <w:adjustRightInd/>
        <w:snapToGrid/>
        <w:spacing w:line="574" w:lineRule="exact"/>
        <w:ind w:firstLine="540" w:firstLineChars="200"/>
        <w:jc w:val="both"/>
        <w:textAlignment w:val="auto"/>
        <w:rPr>
          <w:rFonts w:hint="eastAsia" w:ascii="Times New Roman" w:hAnsi="Times New Roman" w:eastAsia="黑体"/>
          <w:sz w:val="30"/>
          <w:szCs w:val="30"/>
          <w:lang w:eastAsia="zh-CN"/>
        </w:rPr>
      </w:pPr>
      <w:r>
        <w:rPr>
          <w:rFonts w:hint="eastAsia" w:ascii="Times New Roman" w:hAnsi="Times New Roman" w:eastAsia="方正仿宋_GBK"/>
          <w:spacing w:val="-15"/>
          <w:sz w:val="30"/>
          <w:szCs w:val="30"/>
          <w:lang w:eastAsia="zh-CN"/>
        </w:rPr>
        <w:t>进一步加强施工过程精细化管理，细化质量管控措施，强化关键工序巡检与隐患排查，提升整改闭环效率；同时压实安全文明施工管理责任，推动管控要求在班组作业层面落地，降低问题整改频次，切实提升现场管控水平。</w:t>
      </w:r>
    </w:p>
    <w:p w14:paraId="03DB28B7">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黑体"/>
          <w:sz w:val="30"/>
          <w:szCs w:val="30"/>
          <w:lang w:eastAsia="zh-CN"/>
        </w:rPr>
      </w:pPr>
      <w:r>
        <w:rPr>
          <w:rFonts w:hint="eastAsia" w:ascii="Times New Roman" w:hAnsi="Times New Roman" w:eastAsia="黑体"/>
          <w:sz w:val="30"/>
          <w:szCs w:val="30"/>
          <w:lang w:val="en-US" w:eastAsia="zh-CN"/>
        </w:rPr>
        <w:t>六、</w:t>
      </w:r>
      <w:r>
        <w:rPr>
          <w:rFonts w:hint="eastAsia" w:ascii="Times New Roman" w:hAnsi="Times New Roman" w:eastAsia="黑体"/>
          <w:sz w:val="30"/>
          <w:szCs w:val="30"/>
          <w:lang w:eastAsia="zh-CN"/>
        </w:rPr>
        <w:t>相关信息。</w:t>
      </w:r>
    </w:p>
    <w:p w14:paraId="432F2BFF">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center"/>
        <w:textAlignment w:val="auto"/>
        <w:rPr>
          <w:rFonts w:hint="eastAsia" w:ascii="Times New Roman" w:hAnsi="Times New Roman" w:eastAsia="方正仿宋_GBK" w:cs="Arial Unicode MS"/>
          <w:sz w:val="30"/>
          <w:szCs w:val="30"/>
          <w:lang w:eastAsia="zh-CN"/>
        </w:rPr>
      </w:pPr>
      <w:r>
        <w:rPr>
          <w:rFonts w:hint="eastAsia" w:ascii="Times New Roman" w:hAnsi="Times New Roman" w:eastAsia="黑体" w:cs="黑体"/>
          <w:spacing w:val="-4"/>
          <w:sz w:val="30"/>
          <w:szCs w:val="30"/>
          <w:lang w:val="en-US" w:eastAsia="zh-CN"/>
        </w:rPr>
        <w:t>春光苑安置小区一期标段（北区）项目2025年度绩效评价评分表</w:t>
      </w:r>
    </w:p>
    <w:tbl>
      <w:tblPr>
        <w:tblStyle w:val="7"/>
        <w:tblW w:w="89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7"/>
        <w:gridCol w:w="1134"/>
        <w:gridCol w:w="3798"/>
        <w:gridCol w:w="1474"/>
        <w:gridCol w:w="1474"/>
      </w:tblGrid>
      <w:tr w14:paraId="3EF94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F258">
            <w:pPr>
              <w:spacing w:beforeLines="0" w:afterLines="0"/>
              <w:jc w:val="center"/>
              <w:rPr>
                <w:rFonts w:hint="eastAsia" w:ascii="Times New Roman" w:hAnsi="Times New Roman" w:eastAsia="宋体" w:cs="宋体"/>
                <w:i w:val="0"/>
                <w:iCs w:val="0"/>
                <w:color w:val="000000"/>
                <w:kern w:val="0"/>
                <w:sz w:val="21"/>
                <w:szCs w:val="21"/>
                <w:u w:val="none"/>
                <w:lang w:val="en-US" w:eastAsia="zh-CN" w:bidi="ar"/>
              </w:rPr>
            </w:pPr>
            <w:r>
              <w:rPr>
                <w:rFonts w:hint="eastAsia" w:ascii="Times New Roman" w:hAnsi="Times New Roman" w:eastAsia="宋体" w:cs="宋体"/>
                <w:b/>
                <w:bCs/>
                <w:color w:val="000000"/>
                <w:sz w:val="21"/>
                <w:szCs w:val="21"/>
                <w:lang w:val="en-US" w:eastAsia="zh-CN"/>
              </w:rPr>
              <w:t>一级指标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65B58">
            <w:pPr>
              <w:spacing w:beforeLines="0" w:afterLines="0"/>
              <w:jc w:val="center"/>
              <w:rPr>
                <w:rFonts w:hint="eastAsia" w:ascii="Times New Roman" w:hAnsi="Times New Roman" w:eastAsia="宋体" w:cs="宋体"/>
                <w:i w:val="0"/>
                <w:iCs w:val="0"/>
                <w:color w:val="000000"/>
                <w:kern w:val="0"/>
                <w:sz w:val="21"/>
                <w:szCs w:val="21"/>
                <w:u w:val="none"/>
                <w:lang w:val="en-US" w:eastAsia="zh-CN" w:bidi="ar"/>
              </w:rPr>
            </w:pPr>
            <w:r>
              <w:rPr>
                <w:rFonts w:hint="eastAsia" w:ascii="Times New Roman" w:hAnsi="Times New Roman" w:eastAsia="宋体" w:cs="宋体"/>
                <w:b/>
                <w:bCs/>
                <w:color w:val="000000"/>
                <w:sz w:val="21"/>
                <w:szCs w:val="21"/>
                <w:lang w:val="en-US" w:eastAsia="zh-CN"/>
              </w:rPr>
              <w:t>二级指标</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860A">
            <w:pPr>
              <w:spacing w:beforeLines="0" w:afterLines="0"/>
              <w:jc w:val="center"/>
              <w:rPr>
                <w:rFonts w:hint="eastAsia" w:ascii="Times New Roman" w:hAnsi="Times New Roman" w:eastAsia="宋体" w:cs="宋体"/>
                <w:i w:val="0"/>
                <w:iCs w:val="0"/>
                <w:color w:val="000000"/>
                <w:kern w:val="0"/>
                <w:sz w:val="21"/>
                <w:szCs w:val="21"/>
                <w:u w:val="none"/>
                <w:lang w:val="en-US" w:eastAsia="zh-CN" w:bidi="ar"/>
              </w:rPr>
            </w:pPr>
            <w:r>
              <w:rPr>
                <w:rFonts w:hint="eastAsia" w:ascii="Times New Roman" w:hAnsi="Times New Roman" w:eastAsia="宋体" w:cs="宋体"/>
                <w:b/>
                <w:bCs/>
                <w:color w:val="000000"/>
                <w:sz w:val="21"/>
                <w:szCs w:val="21"/>
                <w:lang w:val="en-US" w:eastAsia="zh-CN"/>
              </w:rPr>
              <w:t>三级指标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1BA3">
            <w:pPr>
              <w:spacing w:beforeLines="0" w:afterLines="0"/>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b/>
                <w:bCs/>
                <w:color w:val="000000"/>
                <w:sz w:val="21"/>
                <w:szCs w:val="21"/>
                <w:lang w:val="en-US" w:eastAsia="zh-CN"/>
              </w:rPr>
              <w:t>目标值</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B1CB">
            <w:pPr>
              <w:spacing w:beforeLines="0" w:afterLines="0"/>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b/>
                <w:bCs/>
                <w:color w:val="000000"/>
                <w:sz w:val="21"/>
                <w:szCs w:val="21"/>
                <w:lang w:val="en-US" w:eastAsia="zh-CN"/>
              </w:rPr>
              <w:t>完成值</w:t>
            </w:r>
          </w:p>
        </w:tc>
      </w:tr>
      <w:tr w14:paraId="64123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C905A">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过程</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B8874">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资金管理</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75FB8">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指标1：资金到位率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562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E4F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4E62B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10944">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217B9">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C3F7">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指标2：预算执行率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2F4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13E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32320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85D59">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FCA93">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9F43">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指标3：资金使用合规性</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16E2">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合规</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6213">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合规</w:t>
            </w:r>
          </w:p>
        </w:tc>
      </w:tr>
      <w:tr w14:paraId="32B8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C312E">
            <w:pPr>
              <w:jc w:val="center"/>
              <w:rPr>
                <w:rFonts w:hint="eastAsia" w:ascii="Times New Roman" w:hAnsi="Times New Roman" w:eastAsia="宋体" w:cs="宋体"/>
                <w:i w:val="0"/>
                <w:iCs w:val="0"/>
                <w:color w:val="000000"/>
                <w:sz w:val="21"/>
                <w:szCs w:val="21"/>
                <w:u w:val="none"/>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4D3A2">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组织实施</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40FA">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指标1：管理制度健全性</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2CE2">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健全</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5E11">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健全</w:t>
            </w:r>
          </w:p>
        </w:tc>
      </w:tr>
      <w:tr w14:paraId="02891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C2BC7">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4EFEA">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57BD">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指标2：制度执行有效性</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9C39">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有效</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AF32">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有效</w:t>
            </w:r>
          </w:p>
        </w:tc>
      </w:tr>
      <w:tr w14:paraId="62320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66614">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产出</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AA0BD">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数量指标</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B0A1">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Times New Roman" w:hAnsi="Times New Roman" w:eastAsia="宋体" w:cs="宋体"/>
                <w:i w:val="0"/>
                <w:iCs w:val="0"/>
                <w:color w:val="000000"/>
                <w:kern w:val="0"/>
                <w:sz w:val="21"/>
                <w:szCs w:val="21"/>
                <w:u w:val="none"/>
                <w:lang w:val="en-US" w:eastAsia="zh-CN" w:bidi="ar"/>
              </w:rPr>
              <w:t>：楼栋主体封顶完成栋数</w:t>
            </w:r>
          </w:p>
        </w:tc>
        <w:tc>
          <w:tcPr>
            <w:tcW w:w="1474" w:type="dxa"/>
            <w:tcBorders>
              <w:top w:val="single" w:color="000000" w:sz="4" w:space="0"/>
              <w:left w:val="nil"/>
              <w:bottom w:val="single" w:color="000000" w:sz="4" w:space="0"/>
              <w:right w:val="single" w:color="000000" w:sz="4" w:space="0"/>
            </w:tcBorders>
            <w:shd w:val="clear" w:color="auto" w:fill="auto"/>
            <w:vAlign w:val="center"/>
          </w:tcPr>
          <w:p w14:paraId="3C890A2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474" w:type="dxa"/>
            <w:tcBorders>
              <w:top w:val="single" w:color="000000" w:sz="4" w:space="0"/>
              <w:left w:val="nil"/>
              <w:bottom w:val="single" w:color="000000" w:sz="4" w:space="0"/>
              <w:right w:val="single" w:color="000000" w:sz="4" w:space="0"/>
            </w:tcBorders>
            <w:shd w:val="clear" w:color="auto" w:fill="auto"/>
            <w:vAlign w:val="center"/>
          </w:tcPr>
          <w:p w14:paraId="49580A6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r>
      <w:tr w14:paraId="2383E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BE0AA">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97BCB">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A683">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Times New Roman" w:hAnsi="Times New Roman" w:eastAsia="宋体" w:cs="宋体"/>
                <w:i w:val="0"/>
                <w:iCs w:val="0"/>
                <w:color w:val="000000"/>
                <w:kern w:val="0"/>
                <w:sz w:val="21"/>
                <w:szCs w:val="21"/>
                <w:u w:val="none"/>
                <w:lang w:val="en-US" w:eastAsia="zh-CN" w:bidi="ar"/>
              </w:rPr>
              <w:t>：住房主体结构完成套数</w:t>
            </w:r>
          </w:p>
        </w:tc>
        <w:tc>
          <w:tcPr>
            <w:tcW w:w="1474" w:type="dxa"/>
            <w:tcBorders>
              <w:top w:val="single" w:color="000000" w:sz="4" w:space="0"/>
              <w:left w:val="nil"/>
              <w:bottom w:val="single" w:color="000000" w:sz="4" w:space="0"/>
              <w:right w:val="single" w:color="000000" w:sz="4" w:space="0"/>
            </w:tcBorders>
            <w:shd w:val="clear" w:color="auto" w:fill="auto"/>
            <w:vAlign w:val="center"/>
          </w:tcPr>
          <w:p w14:paraId="2E3D370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414</w:t>
            </w:r>
          </w:p>
        </w:tc>
        <w:tc>
          <w:tcPr>
            <w:tcW w:w="1474" w:type="dxa"/>
            <w:tcBorders>
              <w:top w:val="single" w:color="000000" w:sz="4" w:space="0"/>
              <w:left w:val="nil"/>
              <w:bottom w:val="single" w:color="000000" w:sz="4" w:space="0"/>
              <w:right w:val="single" w:color="000000" w:sz="4" w:space="0"/>
            </w:tcBorders>
            <w:shd w:val="clear" w:color="auto" w:fill="auto"/>
            <w:vAlign w:val="center"/>
          </w:tcPr>
          <w:p w14:paraId="17F47BE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414</w:t>
            </w:r>
          </w:p>
        </w:tc>
      </w:tr>
      <w:tr w14:paraId="6B4B7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22403">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9DEE7">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74AB">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指标3：累计建设工程量完成率</w:t>
            </w:r>
          </w:p>
        </w:tc>
        <w:tc>
          <w:tcPr>
            <w:tcW w:w="1474" w:type="dxa"/>
            <w:tcBorders>
              <w:top w:val="single" w:color="000000" w:sz="4" w:space="0"/>
              <w:left w:val="nil"/>
              <w:bottom w:val="single" w:color="000000" w:sz="4" w:space="0"/>
              <w:right w:val="single" w:color="000000" w:sz="4" w:space="0"/>
            </w:tcBorders>
            <w:shd w:val="clear" w:color="auto" w:fill="auto"/>
            <w:vAlign w:val="center"/>
          </w:tcPr>
          <w:p w14:paraId="67F8DA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1474" w:type="dxa"/>
            <w:tcBorders>
              <w:top w:val="single" w:color="000000" w:sz="4" w:space="0"/>
              <w:left w:val="nil"/>
              <w:bottom w:val="single" w:color="000000" w:sz="4" w:space="0"/>
              <w:right w:val="single" w:color="000000" w:sz="4" w:space="0"/>
            </w:tcBorders>
            <w:shd w:val="clear" w:color="auto" w:fill="auto"/>
            <w:vAlign w:val="center"/>
          </w:tcPr>
          <w:p w14:paraId="79E80A8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r>
      <w:tr w14:paraId="1EBF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6FF75">
            <w:pPr>
              <w:jc w:val="center"/>
              <w:rPr>
                <w:rFonts w:hint="eastAsia" w:ascii="Times New Roman" w:hAnsi="Times New Roman" w:eastAsia="宋体" w:cs="宋体"/>
                <w:i w:val="0"/>
                <w:iCs w:val="0"/>
                <w:color w:val="000000"/>
                <w:sz w:val="21"/>
                <w:szCs w:val="21"/>
                <w:u w:val="none"/>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81C4D">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质量指标</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6751">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Times New Roman" w:hAnsi="Times New Roman" w:eastAsia="宋体" w:cs="宋体"/>
                <w:i w:val="0"/>
                <w:iCs w:val="0"/>
                <w:color w:val="000000"/>
                <w:kern w:val="0"/>
                <w:sz w:val="21"/>
                <w:szCs w:val="21"/>
                <w:u w:val="none"/>
                <w:lang w:val="en-US" w:eastAsia="zh-CN" w:bidi="ar"/>
              </w:rPr>
              <w:t>：月均发现监理提出（质量控制类）整改意见次数</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32D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98E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w:t>
            </w:r>
          </w:p>
        </w:tc>
      </w:tr>
      <w:tr w14:paraId="0F0F6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A0A12">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82025">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B05E">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Times New Roman" w:hAnsi="Times New Roman" w:eastAsia="宋体" w:cs="宋体"/>
                <w:i w:val="0"/>
                <w:iCs w:val="0"/>
                <w:color w:val="000000"/>
                <w:kern w:val="0"/>
                <w:sz w:val="21"/>
                <w:szCs w:val="21"/>
                <w:u w:val="none"/>
                <w:lang w:val="en-US" w:eastAsia="zh-CN" w:bidi="ar"/>
              </w:rPr>
              <w:t>：月均发现监理提出（安全文明类）整改意见次数</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B83F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F6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w:t>
            </w:r>
          </w:p>
        </w:tc>
      </w:tr>
      <w:tr w14:paraId="7677C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5B940">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6B33D">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5FC4">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Times New Roman" w:hAnsi="Times New Roman" w:eastAsia="宋体" w:cs="宋体"/>
                <w:i w:val="0"/>
                <w:iCs w:val="0"/>
                <w:color w:val="000000"/>
                <w:kern w:val="0"/>
                <w:sz w:val="21"/>
                <w:szCs w:val="21"/>
                <w:u w:val="none"/>
                <w:lang w:val="en-US" w:eastAsia="zh-CN" w:bidi="ar"/>
              </w:rPr>
              <w:t>：重大安全事故发生次数</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0C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66D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941E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6F61F">
            <w:pPr>
              <w:jc w:val="center"/>
              <w:rPr>
                <w:rFonts w:hint="eastAsia" w:ascii="Times New Roman" w:hAnsi="Times New Roman" w:eastAsia="宋体" w:cs="宋体"/>
                <w:i w:val="0"/>
                <w:iCs w:val="0"/>
                <w:color w:val="000000"/>
                <w:sz w:val="21"/>
                <w:szCs w:val="21"/>
                <w:u w:val="none"/>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A33D3">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时效指标</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7702">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指标1：年度建设任务完成及时率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FDB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98D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39545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EC4B3">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3250C">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B943">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指标2：已完分项工程验收及时率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799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8C4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23798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22CCA">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C9C59">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FC89">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Times New Roman" w:hAnsi="Times New Roman" w:eastAsia="宋体" w:cs="宋体"/>
                <w:i w:val="0"/>
                <w:iCs w:val="0"/>
                <w:color w:val="000000"/>
                <w:kern w:val="0"/>
                <w:sz w:val="21"/>
                <w:szCs w:val="21"/>
                <w:u w:val="none"/>
                <w:lang w:val="en-US" w:eastAsia="zh-CN" w:bidi="ar"/>
              </w:rPr>
              <w:t>：项目建设手续办理及时率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C50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56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1B04F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BCC0B">
            <w:pPr>
              <w:jc w:val="center"/>
              <w:rPr>
                <w:rFonts w:hint="eastAsia" w:ascii="Times New Roman" w:hAnsi="Times New Roman" w:eastAsia="宋体" w:cs="宋体"/>
                <w:i w:val="0"/>
                <w:iCs w:val="0"/>
                <w:color w:val="000000"/>
                <w:sz w:val="21"/>
                <w:szCs w:val="21"/>
                <w:u w:val="none"/>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B310C">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成本指标</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3D24">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指标1：年度投资控制率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44C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86C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5AD1C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0020C">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43269">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5C26">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Times New Roman" w:hAnsi="Times New Roman" w:eastAsia="宋体" w:cs="宋体"/>
                <w:i w:val="0"/>
                <w:iCs w:val="0"/>
                <w:color w:val="000000"/>
                <w:kern w:val="0"/>
                <w:sz w:val="21"/>
                <w:szCs w:val="21"/>
                <w:u w:val="none"/>
                <w:lang w:val="en-US" w:eastAsia="zh-CN" w:bidi="ar"/>
              </w:rPr>
              <w:t>：专项债券资金闲置率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B61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4A9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19694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E15AA5">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效益</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2A4837">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经济效益</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7F55">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指标1：建设成本预算控制率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C6A0">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全年建设支出不超批复预算</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7E76">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全年建设支出不超批复预算</w:t>
            </w:r>
          </w:p>
        </w:tc>
      </w:tr>
      <w:tr w14:paraId="32E86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86C58">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F79E1">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BA7D">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指标2：带动务工就业人数</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5D47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BC2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w:t>
            </w:r>
          </w:p>
        </w:tc>
      </w:tr>
      <w:tr w14:paraId="2B7FF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9C34D">
            <w:pPr>
              <w:jc w:val="center"/>
              <w:rPr>
                <w:rFonts w:hint="eastAsia" w:ascii="Times New Roman" w:hAnsi="Times New Roman" w:eastAsia="宋体" w:cs="宋体"/>
                <w:i w:val="0"/>
                <w:iCs w:val="0"/>
                <w:color w:val="000000"/>
                <w:sz w:val="21"/>
                <w:szCs w:val="21"/>
                <w:u w:val="none"/>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EE267">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社会效益</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1370">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指标1：安置预备保障户数</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3B8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414</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27D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414</w:t>
            </w:r>
          </w:p>
        </w:tc>
      </w:tr>
      <w:tr w14:paraId="3C885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4EF54">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B3D40">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D0D6">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指标2：住房保障兜底作用</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0844">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有效发挥</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C64F">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有效发挥</w:t>
            </w:r>
          </w:p>
        </w:tc>
      </w:tr>
      <w:tr w14:paraId="5D561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149CC">
            <w:pPr>
              <w:jc w:val="center"/>
              <w:rPr>
                <w:rFonts w:hint="eastAsia" w:ascii="Times New Roman" w:hAnsi="Times New Roman" w:eastAsia="宋体" w:cs="宋体"/>
                <w:i w:val="0"/>
                <w:iCs w:val="0"/>
                <w:color w:val="000000"/>
                <w:sz w:val="21"/>
                <w:szCs w:val="21"/>
                <w:u w:val="none"/>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8DBF3">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生态效益</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E9D4">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指标1：施工现场环保达标率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FBF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8A4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0C920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F47A9">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E5032">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D52D">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指标2：施工废弃物规范处置率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BE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64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4A720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1A032">
            <w:pPr>
              <w:jc w:val="center"/>
              <w:rPr>
                <w:rFonts w:hint="eastAsia" w:ascii="Times New Roman" w:hAnsi="Times New Roman" w:eastAsia="宋体" w:cs="宋体"/>
                <w:i w:val="0"/>
                <w:iCs w:val="0"/>
                <w:color w:val="000000"/>
                <w:sz w:val="21"/>
                <w:szCs w:val="21"/>
                <w:u w:val="none"/>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16BA0">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可持续发展</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C0A9">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Times New Roman" w:hAnsi="Times New Roman" w:eastAsia="宋体" w:cs="宋体"/>
                <w:i w:val="0"/>
                <w:iCs w:val="0"/>
                <w:color w:val="000000"/>
                <w:kern w:val="0"/>
                <w:sz w:val="21"/>
                <w:szCs w:val="21"/>
                <w:u w:val="none"/>
                <w:lang w:val="en-US" w:eastAsia="zh-CN" w:bidi="ar"/>
              </w:rPr>
              <w:t>：安置群众长效居住保障率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66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90E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00A24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3EC39">
            <w:pPr>
              <w:jc w:val="center"/>
              <w:rPr>
                <w:rFonts w:hint="eastAsia" w:ascii="Times New Roman" w:hAnsi="Times New Roman" w:eastAsia="宋体" w:cs="宋体"/>
                <w:i w:val="0"/>
                <w:iCs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9ADB4">
            <w:pPr>
              <w:jc w:val="center"/>
              <w:rPr>
                <w:rFonts w:hint="eastAsia" w:ascii="Times New Roman" w:hAnsi="Times New Roman" w:eastAsia="宋体" w:cs="宋体"/>
                <w:i w:val="0"/>
                <w:iCs w:val="0"/>
                <w:color w:val="000000"/>
                <w:sz w:val="21"/>
                <w:szCs w:val="21"/>
                <w:u w:val="none"/>
              </w:rPr>
            </w:pP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1E1C">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Times New Roman" w:hAnsi="Times New Roman" w:eastAsia="宋体" w:cs="宋体"/>
                <w:i w:val="0"/>
                <w:iCs w:val="0"/>
                <w:color w:val="000000"/>
                <w:kern w:val="0"/>
                <w:sz w:val="21"/>
                <w:szCs w:val="21"/>
                <w:u w:val="none"/>
                <w:lang w:val="en-US" w:eastAsia="zh-CN" w:bidi="ar"/>
              </w:rPr>
              <w:t>：区域经济社会长效带动达标率</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6ED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7EA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r>
      <w:tr w14:paraId="13B33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3808">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满意度</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59D5">
            <w:pPr>
              <w:keepNext w:val="0"/>
              <w:keepLines w:val="0"/>
              <w:widowControl/>
              <w:suppressLineNumbers w:val="0"/>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服务对象</w:t>
            </w:r>
            <w:r>
              <w:rPr>
                <w:rFonts w:hint="eastAsia" w:ascii="Times New Roman" w:hAnsi="Times New Roman" w:eastAsia="宋体" w:cs="宋体"/>
                <w:i w:val="0"/>
                <w:iCs w:val="0"/>
                <w:color w:val="000000"/>
                <w:kern w:val="0"/>
                <w:sz w:val="21"/>
                <w:szCs w:val="21"/>
                <w:u w:val="none"/>
                <w:lang w:val="en-US" w:eastAsia="zh-CN" w:bidi="ar"/>
              </w:rPr>
              <w:br w:type="textWrapping"/>
            </w:r>
            <w:r>
              <w:rPr>
                <w:rFonts w:hint="eastAsia" w:ascii="Times New Roman" w:hAnsi="Times New Roman" w:eastAsia="宋体" w:cs="宋体"/>
                <w:i w:val="0"/>
                <w:iCs w:val="0"/>
                <w:color w:val="000000"/>
                <w:kern w:val="0"/>
                <w:sz w:val="21"/>
                <w:szCs w:val="21"/>
                <w:u w:val="none"/>
                <w:lang w:val="en-US" w:eastAsia="zh-CN" w:bidi="ar"/>
              </w:rPr>
              <w:t>满意度</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12FB">
            <w:pPr>
              <w:keepNext w:val="0"/>
              <w:keepLines w:val="0"/>
              <w:widowControl/>
              <w:suppressLineNumbers w:val="0"/>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指标</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Times New Roman" w:hAnsi="Times New Roman" w:eastAsia="宋体" w:cs="宋体"/>
                <w:i w:val="0"/>
                <w:iCs w:val="0"/>
                <w:color w:val="000000"/>
                <w:kern w:val="0"/>
                <w:sz w:val="21"/>
                <w:szCs w:val="21"/>
                <w:u w:val="none"/>
                <w:lang w:val="en-US" w:eastAsia="zh-CN" w:bidi="ar"/>
              </w:rPr>
              <w:t>：项目相关方综合满意度</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309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1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0A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89%</w:t>
            </w:r>
          </w:p>
        </w:tc>
      </w:tr>
    </w:tbl>
    <w:p w14:paraId="58DE39F2">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rFonts w:hint="eastAsia" w:ascii="Times New Roman" w:hAnsi="Times New Roman" w:eastAsia="方正仿宋_GBK" w:cs="Arial Unicode MS"/>
          <w:sz w:val="30"/>
          <w:szCs w:val="30"/>
          <w:lang w:eastAsia="zh-CN"/>
        </w:rPr>
      </w:pPr>
    </w:p>
    <w:sectPr>
      <w:type w:val="continuous"/>
      <w:pgSz w:w="11910" w:h="16840"/>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wiss"/>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286"/>
    <w:rsid w:val="0000186F"/>
    <w:rsid w:val="00027842"/>
    <w:rsid w:val="000F0010"/>
    <w:rsid w:val="001076FD"/>
    <w:rsid w:val="00112A3C"/>
    <w:rsid w:val="0012335B"/>
    <w:rsid w:val="001D43CE"/>
    <w:rsid w:val="001E1F08"/>
    <w:rsid w:val="001F5652"/>
    <w:rsid w:val="002034C4"/>
    <w:rsid w:val="00223670"/>
    <w:rsid w:val="002F39B9"/>
    <w:rsid w:val="00317F35"/>
    <w:rsid w:val="003D4D43"/>
    <w:rsid w:val="00412A90"/>
    <w:rsid w:val="00427AA3"/>
    <w:rsid w:val="00453872"/>
    <w:rsid w:val="00485FCA"/>
    <w:rsid w:val="00496584"/>
    <w:rsid w:val="004B1555"/>
    <w:rsid w:val="004E3E98"/>
    <w:rsid w:val="004F2889"/>
    <w:rsid w:val="00541FD2"/>
    <w:rsid w:val="0055497B"/>
    <w:rsid w:val="0058181F"/>
    <w:rsid w:val="005C5968"/>
    <w:rsid w:val="005D094F"/>
    <w:rsid w:val="005D61F8"/>
    <w:rsid w:val="006032DC"/>
    <w:rsid w:val="006A0286"/>
    <w:rsid w:val="006F1257"/>
    <w:rsid w:val="006F2AB8"/>
    <w:rsid w:val="00705B52"/>
    <w:rsid w:val="0072674E"/>
    <w:rsid w:val="007416BA"/>
    <w:rsid w:val="0075652D"/>
    <w:rsid w:val="00784065"/>
    <w:rsid w:val="007A754E"/>
    <w:rsid w:val="00830C91"/>
    <w:rsid w:val="008C735A"/>
    <w:rsid w:val="008D7527"/>
    <w:rsid w:val="008F6FC9"/>
    <w:rsid w:val="00926E98"/>
    <w:rsid w:val="0095504B"/>
    <w:rsid w:val="009B2D68"/>
    <w:rsid w:val="00A14DE2"/>
    <w:rsid w:val="00A72387"/>
    <w:rsid w:val="00A863A2"/>
    <w:rsid w:val="00AA24DC"/>
    <w:rsid w:val="00AC69E3"/>
    <w:rsid w:val="00B14C89"/>
    <w:rsid w:val="00B33955"/>
    <w:rsid w:val="00BD1F01"/>
    <w:rsid w:val="00CB64D3"/>
    <w:rsid w:val="00D20830"/>
    <w:rsid w:val="00D71C46"/>
    <w:rsid w:val="00D855DD"/>
    <w:rsid w:val="00D85F96"/>
    <w:rsid w:val="00DE067D"/>
    <w:rsid w:val="00DF053C"/>
    <w:rsid w:val="00E1011A"/>
    <w:rsid w:val="00E70A55"/>
    <w:rsid w:val="00EB03FD"/>
    <w:rsid w:val="00ED06B2"/>
    <w:rsid w:val="00EF65E3"/>
    <w:rsid w:val="00F161C4"/>
    <w:rsid w:val="00F35A70"/>
    <w:rsid w:val="00F4202D"/>
    <w:rsid w:val="00FB5E7E"/>
    <w:rsid w:val="00FC405A"/>
    <w:rsid w:val="00FC7877"/>
    <w:rsid w:val="10C04C13"/>
    <w:rsid w:val="1AF71A5A"/>
    <w:rsid w:val="2AB411F2"/>
    <w:rsid w:val="331217FF"/>
    <w:rsid w:val="44484D08"/>
    <w:rsid w:val="46020B59"/>
    <w:rsid w:val="5C4E1BEB"/>
    <w:rsid w:val="61F93EFA"/>
    <w:rsid w:val="63CC1360"/>
    <w:rsid w:val="644E6F1D"/>
    <w:rsid w:val="64F638C0"/>
    <w:rsid w:val="6857606C"/>
    <w:rsid w:val="6B7C455F"/>
    <w:rsid w:val="73BB69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ind w:left="100"/>
      <w:outlineLvl w:val="0"/>
    </w:pPr>
    <w:rPr>
      <w:rFonts w:ascii="宋体" w:hAnsi="宋体" w:eastAsia="宋体"/>
      <w:sz w:val="36"/>
      <w:szCs w:val="36"/>
    </w:rPr>
  </w:style>
  <w:style w:type="paragraph" w:styleId="3">
    <w:name w:val="heading 2"/>
    <w:basedOn w:val="1"/>
    <w:next w:val="1"/>
    <w:qFormat/>
    <w:uiPriority w:val="1"/>
    <w:pPr>
      <w:ind w:left="-21" w:firstLine="2592"/>
      <w:outlineLvl w:val="1"/>
    </w:pPr>
    <w:rPr>
      <w:rFonts w:ascii="宋体" w:hAnsi="宋体" w:eastAsia="宋体"/>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207"/>
      <w:ind w:left="120"/>
    </w:pPr>
    <w:rPr>
      <w:rFonts w:ascii="宋体" w:hAnsi="宋体" w:eastAsia="宋体"/>
      <w:sz w:val="30"/>
      <w:szCs w:val="30"/>
    </w:rPr>
  </w:style>
  <w:style w:type="paragraph" w:styleId="5">
    <w:name w:val="footer"/>
    <w:basedOn w:val="1"/>
    <w:link w:val="15"/>
    <w:unhideWhenUsed/>
    <w:qFormat/>
    <w:uiPriority w:val="99"/>
    <w:pPr>
      <w:tabs>
        <w:tab w:val="center" w:pos="4153"/>
        <w:tab w:val="right" w:pos="8306"/>
      </w:tabs>
      <w:snapToGrid w:val="0"/>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paragraph" w:customStyle="1" w:styleId="13">
    <w:name w:val="Default"/>
    <w:qFormat/>
    <w:uiPriority w:val="0"/>
    <w:pPr>
      <w:widowControl w:val="0"/>
      <w:autoSpaceDE w:val="0"/>
      <w:autoSpaceDN w:val="0"/>
      <w:adjustRightInd w:val="0"/>
    </w:pPr>
    <w:rPr>
      <w:rFonts w:ascii="方正黑体_GBK" w:hAnsi="方正黑体_GBK" w:cs="方正黑体_GBK" w:eastAsiaTheme="minorEastAsia"/>
      <w:color w:val="000000"/>
      <w:sz w:val="24"/>
      <w:szCs w:val="24"/>
      <w:lang w:val="en-US" w:eastAsia="en-US" w:bidi="ar-SA"/>
    </w:rPr>
  </w:style>
  <w:style w:type="character" w:customStyle="1" w:styleId="14">
    <w:name w:val="页眉 字符"/>
    <w:basedOn w:val="9"/>
    <w:link w:val="6"/>
    <w:qFormat/>
    <w:uiPriority w:val="99"/>
    <w:rPr>
      <w:sz w:val="18"/>
      <w:szCs w:val="18"/>
    </w:rPr>
  </w:style>
  <w:style w:type="character" w:customStyle="1" w:styleId="15">
    <w:name w:val="页脚 字符"/>
    <w:basedOn w:val="9"/>
    <w:link w:val="5"/>
    <w:qFormat/>
    <w:uiPriority w:val="99"/>
    <w:rPr>
      <w:sz w:val="18"/>
      <w:szCs w:val="18"/>
    </w:rPr>
  </w:style>
  <w:style w:type="character" w:customStyle="1" w:styleId="16">
    <w:name w:val="font31"/>
    <w:basedOn w:val="9"/>
    <w:qFormat/>
    <w:uiPriority w:val="0"/>
    <w:rPr>
      <w:rFonts w:hint="eastAsia" w:ascii="宋体" w:hAnsi="宋体" w:eastAsia="宋体" w:cs="宋体"/>
      <w:color w:val="000000"/>
      <w:sz w:val="22"/>
      <w:szCs w:val="22"/>
      <w:u w:val="none"/>
    </w:rPr>
  </w:style>
  <w:style w:type="character" w:customStyle="1" w:styleId="17">
    <w:name w:val="font61"/>
    <w:basedOn w:val="9"/>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2550</Words>
  <Characters>2631</Characters>
  <Lines>36</Lines>
  <Paragraphs>10</Paragraphs>
  <TotalTime>3</TotalTime>
  <ScaleCrop>false</ScaleCrop>
  <LinksUpToDate>false</LinksUpToDate>
  <CharactersWithSpaces>2632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2021-08-19T09:37:00Z</dcterms:created>
  <dc:creator>张肖军(拟稿)</dc:creator>
  <cp:lastModifiedBy>yEs、先生</cp:lastModifiedBy>
  <cp:lastPrinted>2026-06-29T09:28:00Z</cp:lastPrinted>
  <dcterms:modified xsi:type="dcterms:W3CDTF">2026-07-08T07:42:45Z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Adobe Acrobat Pro 11.0.7</vt:lpwstr>
  </property>
  <property fmtid="{D5CDD505-2E9C-101B-9397-08002B2CF9AE}" pid="4" name="LastSaved">
    <vt:filetime>2021-08-19T00:00:00Z</vt:filetime>
  </property>
  <property fmtid="{D5CDD505-2E9C-101B-9397-08002B2CF9AE}" pid="5" name="KSOProductBuildVer">
    <vt:lpwstr>2052-12.1.0.26895</vt:lpwstr>
  </property>
  <property fmtid="{D5CDD505-2E9C-101B-9397-08002B2CF9AE}" pid="6" name="ICV">
    <vt:lpwstr>6110B7415DC740C58185CD86345CBEB1</vt:lpwstr>
  </property>
  <property fmtid="{D5CDD505-2E9C-101B-9397-08002B2CF9AE}" pid="7" name="KSOTemplateDocerSaveRecord">
    <vt:lpwstr>eyJoZGlkIjoiZTZkN2M1MmMzYzdhMDFiZjAyNDVjYTUwNmM5OWJjOWMiLCJ1c2VySWQiOiI0NTk2MjIyMjEifQ==</vt:lpwstr>
  </property>
</Properties>
</file>