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8376A">
      <w:pPr>
        <w:spacing w:before="9" w:line="574" w:lineRule="exact"/>
        <w:ind w:left="120"/>
        <w:rPr>
          <w:rFonts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7</w:t>
      </w:r>
    </w:p>
    <w:p w14:paraId="742F8144">
      <w:pPr>
        <w:spacing w:before="2" w:line="574" w:lineRule="exact"/>
        <w:rPr>
          <w:rFonts w:ascii="宋体" w:hAnsi="宋体" w:eastAsia="宋体" w:cs="宋体"/>
          <w:sz w:val="27"/>
          <w:szCs w:val="27"/>
          <w:lang w:eastAsia="zh-CN"/>
        </w:rPr>
      </w:pPr>
    </w:p>
    <w:p w14:paraId="62201E6E">
      <w:pPr>
        <w:spacing w:line="574" w:lineRule="exact"/>
        <w:jc w:val="center"/>
        <w:rPr>
          <w:rFonts w:ascii="方正小标宋_GBK" w:eastAsia="方正小标宋_GBK" w:cs="宋体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江苏省政府专项债券项目绩效自评价报告</w:t>
      </w:r>
    </w:p>
    <w:p w14:paraId="3B7CE292">
      <w:pPr>
        <w:spacing w:line="574" w:lineRule="exact"/>
        <w:jc w:val="center"/>
        <w:rPr>
          <w:rFonts w:ascii="方正楷体_GBK" w:eastAsia="方正楷体_GBK"/>
          <w:sz w:val="30"/>
          <w:szCs w:val="30"/>
          <w:lang w:eastAsia="zh-CN"/>
        </w:rPr>
      </w:pPr>
      <w:r>
        <w:rPr>
          <w:rFonts w:hint="eastAsia" w:ascii="方正楷体_GBK" w:eastAsia="方正楷体_GBK"/>
          <w:sz w:val="30"/>
          <w:szCs w:val="30"/>
          <w:lang w:eastAsia="zh-CN"/>
        </w:rPr>
        <w:t>（无锡市惠山区妇幼保健医院新建工程）</w:t>
      </w:r>
    </w:p>
    <w:p w14:paraId="574D8BD5">
      <w:pPr>
        <w:spacing w:line="580" w:lineRule="exact"/>
        <w:ind w:firstLine="600" w:firstLineChars="200"/>
        <w:jc w:val="both"/>
        <w:rPr>
          <w:rFonts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  <w:lang w:eastAsia="zh-CN"/>
        </w:rPr>
        <w:t>一、项目情况</w:t>
      </w:r>
    </w:p>
    <w:p w14:paraId="54771588">
      <w:pPr>
        <w:spacing w:line="580" w:lineRule="exact"/>
        <w:ind w:firstLine="584" w:firstLineChars="200"/>
        <w:jc w:val="both"/>
        <w:rPr>
          <w:rFonts w:ascii="黑体" w:hAnsi="黑体" w:eastAsia="黑体" w:cs="黑体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（一）项目概况</w:t>
      </w:r>
    </w:p>
    <w:p w14:paraId="27559C0B">
      <w:pPr>
        <w:spacing w:line="580" w:lineRule="exact"/>
        <w:ind w:firstLine="544" w:firstLineChars="200"/>
        <w:jc w:val="both"/>
        <w:rPr>
          <w:rFonts w:ascii="仿宋" w:hAnsi="仿宋" w:eastAsia="仿宋" w:cs="仿宋"/>
          <w:spacing w:val="-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1.项目背景</w:t>
      </w:r>
    </w:p>
    <w:p w14:paraId="3C570E0D">
      <w:pPr>
        <w:spacing w:line="580" w:lineRule="exact"/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近年来，无锡城市建设飞速发展，堰桥街道围绕地铁1号线全力推进核心区“天一新城”的建设，同时一些市、区重大项目也在堰桥街道落地。堰桥街道秉着大力发展社区卫生服务机构，完善社区卫生服务功能的宗旨，开展无锡市惠山区妇幼保健医院新建工程。</w:t>
      </w:r>
    </w:p>
    <w:p w14:paraId="0A8BDEC0">
      <w:pPr>
        <w:spacing w:line="580" w:lineRule="exact"/>
        <w:ind w:firstLine="544" w:firstLineChars="200"/>
        <w:jc w:val="both"/>
        <w:rPr>
          <w:rFonts w:ascii="仿宋" w:hAnsi="仿宋" w:eastAsia="仿宋" w:cs="仿宋"/>
          <w:spacing w:val="-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2.主要内容</w:t>
      </w:r>
    </w:p>
    <w:p w14:paraId="551C9E9A">
      <w:pPr>
        <w:pStyle w:val="12"/>
        <w:spacing w:line="580" w:lineRule="exact"/>
        <w:ind w:firstLine="560"/>
        <w:outlineLvl w:val="2"/>
        <w:rPr>
          <w:rFonts w:ascii="仿宋" w:hAnsi="仿宋" w:eastAsia="仿宋" w:cs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该项目总占地面积17800.8㎡，规划总建筑面积73775㎡，其中：地上建筑面积45791㎡，地下建筑面积27984㎡（含人防工程平战转换医院约3000㎡），共计床位450床，机动车停车位845个。</w:t>
      </w:r>
    </w:p>
    <w:p w14:paraId="33CB2B13">
      <w:pPr>
        <w:pStyle w:val="12"/>
        <w:spacing w:line="580" w:lineRule="exact"/>
        <w:ind w:firstLine="560"/>
        <w:outlineLvl w:val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3.实施方式、资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金投入和使用情况</w:t>
      </w:r>
    </w:p>
    <w:p w14:paraId="6742BFEB">
      <w:pPr>
        <w:spacing w:line="580" w:lineRule="exact"/>
        <w:ind w:firstLine="560" w:firstLineChars="200"/>
        <w:jc w:val="both"/>
        <w:rPr>
          <w:rFonts w:ascii="方正仿宋_GBK" w:eastAsia="方正仿宋_GBK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本项目工程投资总额68100万元，其中财政资金17100万元，专项债券资金51000万元，202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年申请发行专项债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000万元，已全部用于该建设内容。</w:t>
      </w:r>
    </w:p>
    <w:p w14:paraId="0BD2A6AF">
      <w:pPr>
        <w:spacing w:line="580" w:lineRule="exact"/>
        <w:ind w:firstLine="584" w:firstLineChars="200"/>
        <w:jc w:val="both"/>
        <w:rPr>
          <w:rFonts w:ascii="方正仿宋_GBK" w:eastAsia="方正仿宋_GBK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（二）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绩效目标</w:t>
      </w:r>
    </w:p>
    <w:p w14:paraId="3483D9DE">
      <w:pPr>
        <w:snapToGrid w:val="0"/>
        <w:spacing w:line="580" w:lineRule="exact"/>
        <w:ind w:firstLine="560" w:firstLineChars="200"/>
        <w:jc w:val="both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项目总体目标：目标1：装修工程完工</w:t>
      </w:r>
    </w:p>
    <w:p w14:paraId="37F93A45">
      <w:pPr>
        <w:snapToGrid w:val="0"/>
        <w:spacing w:line="580" w:lineRule="exact"/>
        <w:ind w:firstLine="2520" w:firstLineChars="900"/>
        <w:jc w:val="both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目标2：市政完工</w:t>
      </w:r>
    </w:p>
    <w:p w14:paraId="135152F5">
      <w:pPr>
        <w:spacing w:line="580" w:lineRule="exact"/>
        <w:ind w:left="2239" w:leftChars="254" w:hanging="1680" w:hangingChars="600"/>
        <w:jc w:val="both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阶段性目标：202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2月前装修工程完工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90%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、市政完工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100%</w:t>
      </w:r>
    </w:p>
    <w:p w14:paraId="2D6B77D8">
      <w:pPr>
        <w:spacing w:line="580" w:lineRule="exact"/>
        <w:ind w:firstLine="600" w:firstLineChars="200"/>
        <w:jc w:val="both"/>
        <w:rPr>
          <w:rFonts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  <w:lang w:eastAsia="zh-CN"/>
        </w:rPr>
        <w:t>二、评价情况</w:t>
      </w:r>
    </w:p>
    <w:p w14:paraId="6CFCFE76">
      <w:pPr>
        <w:spacing w:line="580" w:lineRule="exact"/>
        <w:ind w:firstLine="584" w:firstLineChars="200"/>
        <w:jc w:val="both"/>
        <w:rPr>
          <w:rFonts w:ascii="黑体" w:hAnsi="黑体" w:eastAsia="黑体" w:cs="黑体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（一）项目特点分析</w:t>
      </w:r>
    </w:p>
    <w:p w14:paraId="31F5388C">
      <w:pPr>
        <w:spacing w:line="580" w:lineRule="exact"/>
        <w:ind w:firstLine="544" w:firstLineChars="200"/>
        <w:rPr>
          <w:rFonts w:ascii="仿宋" w:hAnsi="仿宋" w:eastAsia="仿宋" w:cs="仿宋"/>
          <w:color w:val="5009C7"/>
          <w:spacing w:val="-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该项目的实施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将有利于促进医疗卫生事业健康快速发展，提升医疗服务水平，满足堰桥街道区域及其周边社区居民的医疗需求。</w:t>
      </w:r>
    </w:p>
    <w:p w14:paraId="0D7405B5">
      <w:pPr>
        <w:numPr>
          <w:ilvl w:val="0"/>
          <w:numId w:val="1"/>
        </w:numPr>
        <w:spacing w:line="580" w:lineRule="exact"/>
        <w:ind w:left="440" w:leftChars="200"/>
        <w:jc w:val="both"/>
        <w:rPr>
          <w:rFonts w:ascii="黑体" w:hAnsi="黑体" w:eastAsia="黑体" w:cs="黑体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评价思路方法</w:t>
      </w:r>
    </w:p>
    <w:p w14:paraId="6EAF609E">
      <w:pPr>
        <w:snapToGrid w:val="0"/>
        <w:spacing w:line="580" w:lineRule="exact"/>
        <w:ind w:firstLine="560" w:firstLineChars="200"/>
        <w:rPr>
          <w:rFonts w:asciiTheme="majorEastAsia" w:hAnsiTheme="majorEastAsia" w:eastAsiaTheme="majorEastAsia" w:cstheme="majorEastAsia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1、①项目立项依据充分；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该项目的实施是依据我国新的城镇医疗卫生改革，将大力发展社区卫生服务机构，完善社区卫生服务功能，为社区居民提供疾病预防等公共卫生服务和一般常见病、多发病、慢性病的基本医疗服务为宗旨要求实施的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②决策过程规范；根据惠发改投【2021】111号文件决策执行。</w:t>
      </w:r>
    </w:p>
    <w:p w14:paraId="00F87BFF">
      <w:pPr>
        <w:spacing w:line="580" w:lineRule="exact"/>
        <w:ind w:firstLine="560" w:firstLineChars="200"/>
        <w:jc w:val="both"/>
        <w:rPr>
          <w:rFonts w:ascii="仿宋" w:hAnsi="仿宋" w:eastAsia="方正仿宋_GB2312" w:cs="仿宋"/>
          <w:color w:val="5009C7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①项目可持续发展性：符合群众的需求、惠及群众，从长期来看能改善医疗卫生条件、完善城市配套、满足人民群众就近医疗及人民健康的需求；②该项目的实施满足了堰桥街道区域及其周边社区居民的医疗需求，能有效地改变医疗卫生条件，也受到周边居民的积极支持。</w:t>
      </w:r>
    </w:p>
    <w:p w14:paraId="17314FB5">
      <w:pPr>
        <w:snapToGrid w:val="0"/>
        <w:spacing w:line="580" w:lineRule="exact"/>
        <w:ind w:firstLine="560" w:firstLineChars="200"/>
        <w:rPr>
          <w:rFonts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3、①绩效指标和指标值经过论证和合理测算，符合行业正常水平或事业发展规律；经与政府相关规划、工程、招标科论证和测算，指标合理；②数据可以获取，数据根据各相关部门实际数据及可研报告相结合测算。</w:t>
      </w:r>
    </w:p>
    <w:p w14:paraId="1299F676">
      <w:pPr>
        <w:numPr>
          <w:ilvl w:val="0"/>
          <w:numId w:val="1"/>
        </w:numPr>
        <w:spacing w:line="580" w:lineRule="exact"/>
        <w:ind w:left="440" w:leftChars="200"/>
        <w:jc w:val="both"/>
        <w:rPr>
          <w:rFonts w:ascii="黑体" w:hAnsi="黑体" w:eastAsia="黑体" w:cs="黑体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评价工作情况</w:t>
      </w:r>
    </w:p>
    <w:p w14:paraId="47390309">
      <w:pPr>
        <w:spacing w:line="580" w:lineRule="exact"/>
        <w:ind w:firstLine="544" w:firstLineChars="200"/>
        <w:jc w:val="both"/>
        <w:rPr>
          <w:rFonts w:ascii="仿宋" w:hAnsi="仿宋" w:eastAsia="仿宋" w:cs="仿宋"/>
          <w:spacing w:val="-4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highlight w:val="none"/>
          <w:lang w:eastAsia="zh-CN"/>
        </w:rPr>
        <w:t>1、项目目前处于在建状态，经济效益还未实现；暂未进行群众满意度调查，但宣传较好群众比较满意。改进措施：加强后续绩效管理工作，按要求开展群众满意度调查。</w:t>
      </w:r>
    </w:p>
    <w:p w14:paraId="1CC15D7D">
      <w:pPr>
        <w:spacing w:line="580" w:lineRule="exact"/>
        <w:ind w:firstLine="544" w:firstLineChars="200"/>
        <w:rPr>
          <w:rFonts w:ascii="方正仿宋_GBK" w:eastAsia="方正仿宋_GBK"/>
          <w:color w:val="5009C7"/>
          <w:spacing w:val="-4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2、该项目的实施建设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将大力发展社区卫生服务机构，完善社区卫生服务功能，为社区居民提供疾病预防等公共卫生服务和一般常见病、多发病、慢性病的基本医疗服务。社区卫生服务机构可以为居民提供低价、就近、方便、快捷的医疗卫生服务，从而吸引居民到社区卫生医疗机构就医，分流常见病、轻微病病人，进而实现有限医疗资源的最大化合理配置，解决居民看病难、看病贵的难题。</w:t>
      </w:r>
    </w:p>
    <w:p w14:paraId="70409461">
      <w:pPr>
        <w:spacing w:line="580" w:lineRule="exact"/>
        <w:ind w:firstLine="600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（四）绩效评价结论</w:t>
      </w:r>
    </w:p>
    <w:p w14:paraId="4AC0B456">
      <w:pPr>
        <w:snapToGrid w:val="0"/>
        <w:spacing w:line="580" w:lineRule="exact"/>
        <w:ind w:firstLine="560" w:firstLineChars="200"/>
        <w:rPr>
          <w:rFonts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按照保进度，重质量、求实效的要求，此次绩效评价自评综合得分为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90.2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分，自评结论为“优秀”。</w:t>
      </w:r>
    </w:p>
    <w:p w14:paraId="597D9BA0">
      <w:pPr>
        <w:pStyle w:val="12"/>
        <w:numPr>
          <w:ilvl w:val="0"/>
          <w:numId w:val="2"/>
        </w:numPr>
        <w:spacing w:line="580" w:lineRule="exact"/>
        <w:ind w:left="567"/>
        <w:outlineLvl w:val="2"/>
        <w:rPr>
          <w:rFonts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  <w:lang w:eastAsia="zh-CN"/>
        </w:rPr>
        <w:t>项目绩效</w:t>
      </w:r>
      <w:bookmarkStart w:id="0" w:name="_Toc496964006"/>
      <w:bookmarkStart w:id="1" w:name="_Toc11346"/>
      <w:bookmarkStart w:id="2" w:name="_Toc502588167"/>
      <w:bookmarkStart w:id="3" w:name="_Toc4981"/>
      <w:bookmarkStart w:id="4" w:name="_Toc2130"/>
    </w:p>
    <w:p w14:paraId="594E5AF8">
      <w:pPr>
        <w:snapToGrid w:val="0"/>
        <w:spacing w:line="580" w:lineRule="exact"/>
        <w:ind w:firstLine="560" w:firstLineChars="200"/>
        <w:rPr>
          <w:rFonts w:ascii="仿宋" w:hAnsi="仿宋" w:eastAsia="仿宋" w:cs="仿宋"/>
          <w:color w:val="5009C7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该项目的建成对堰桥医疗卫生事业、医疗水平等方面有着积极影响,主要体现在以下几个方面：</w:t>
      </w:r>
    </w:p>
    <w:bookmarkEnd w:id="0"/>
    <w:bookmarkEnd w:id="1"/>
    <w:bookmarkEnd w:id="2"/>
    <w:bookmarkEnd w:id="3"/>
    <w:bookmarkEnd w:id="4"/>
    <w:p w14:paraId="22F0553C">
      <w:pPr>
        <w:widowControl/>
        <w:spacing w:line="580" w:lineRule="exact"/>
        <w:ind w:firstLine="560" w:firstLineChars="20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1. 对提升惠山区卫生医疗水平，构建与居民健康服务需求相适 </w:t>
      </w:r>
    </w:p>
    <w:p w14:paraId="66D8270C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应的医疗卫生服务体系有着非常重要的积极意义。随着全面两孩政策 </w:t>
      </w:r>
    </w:p>
    <w:p w14:paraId="1C90BDFD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的实施，惠山区人口将继续保持稳定增长，预计到 2025 惠山区常住人 </w:t>
      </w:r>
    </w:p>
    <w:p w14:paraId="18BD1A14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口将达到 80 万人，出生人口数量将持续增加，妇产科、儿科、妇幼保 </w:t>
      </w:r>
    </w:p>
    <w:p w14:paraId="47391D5F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健等相关医疗服务的供需矛盾也将更加突出；同时，疾病谱发生较大 </w:t>
      </w:r>
    </w:p>
    <w:p w14:paraId="1AAB6514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变化，慢性病成为主要疾病负担，新发传染病以及传统传染病的潜在 </w:t>
      </w:r>
    </w:p>
    <w:p w14:paraId="287C2C4E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威胁依然存在。项目的建成对缓解地区医疗资源分布不均、医疗卫生 </w:t>
      </w:r>
    </w:p>
    <w:p w14:paraId="41262AFA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资源供需矛盾凸出等问题有着非常重要的积极意义。 </w:t>
      </w:r>
    </w:p>
    <w:p w14:paraId="0F6EA31A">
      <w:pPr>
        <w:widowControl/>
        <w:spacing w:line="580" w:lineRule="exact"/>
        <w:ind w:firstLine="560" w:firstLineChars="20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2. 项目的实施可带动当地建筑业、交通运输业、服务业等其他 </w:t>
      </w:r>
    </w:p>
    <w:p w14:paraId="2C74CD37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相关行业的快速发展，为提高惠山区综合实力添砖加瓦，对于搞活国 </w:t>
      </w:r>
    </w:p>
    <w:p w14:paraId="445989A4">
      <w:pPr>
        <w:widowControl/>
        <w:spacing w:line="58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民经济、增加国民收入、提高国民生活水平有着积极的意义。</w:t>
      </w:r>
    </w:p>
    <w:p w14:paraId="62906C7C">
      <w:pPr>
        <w:spacing w:line="580" w:lineRule="exact"/>
        <w:ind w:firstLine="600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四、存在问题</w:t>
      </w:r>
    </w:p>
    <w:p w14:paraId="13D15093">
      <w:pPr>
        <w:spacing w:line="580" w:lineRule="exact"/>
        <w:ind w:firstLine="643" w:firstLineChars="200"/>
        <w:jc w:val="both"/>
        <w:rPr>
          <w:rFonts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ascii="Times New Roman" w:hAnsi="Times New Roman" w:eastAsia="方正仿宋_GB2312" w:cs="Times New Roman"/>
          <w:b/>
          <w:sz w:val="32"/>
          <w:szCs w:val="32"/>
        </w:rPr>
        <w:t>项目实施进度未达预期</w:t>
      </w:r>
    </w:p>
    <w:p w14:paraId="27E43236">
      <w:pPr>
        <w:spacing w:line="5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由于施工期间医院功能定位调整，直至2025年3月，按最终确定的区人民医院东院区相关要求重新复工，配合精装修进行墙体砌筑和水电施工。受此影响，施工班组、材料等二次进场的招采、审核、送检时间较长，加上材料、人工组价变动等问题，施工人员频繁停工撤场，严重影响整体施工进度。</w:t>
      </w:r>
    </w:p>
    <w:p w14:paraId="616288EE">
      <w:pPr>
        <w:spacing w:line="580" w:lineRule="exact"/>
        <w:ind w:firstLine="600" w:firstLineChars="200"/>
        <w:jc w:val="both"/>
        <w:rPr>
          <w:rFonts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五、有关建议</w:t>
      </w:r>
    </w:p>
    <w:p w14:paraId="1A64C290">
      <w:pPr>
        <w:spacing w:line="560" w:lineRule="exact"/>
        <w:ind w:firstLine="560" w:firstLineChars="200"/>
        <w:rPr>
          <w:rFonts w:hint="eastAsia" w:ascii="仿宋" w:hAnsi="仿宋" w:eastAsia="仿宋" w:cs="仿宋"/>
          <w:color w:val="5009C7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强化绩效目标管理，提高预算项目绩效目标填报的完整性、合理性、科学性。聘请专业策划、建设管理团队，做好项目调研，杜绝项目反复变更调整。此外，加强对专项债券项目执行情况的监督和检查，确保项目按照法规要求推进。加强对专项债券项目的全过程管理，包括项目前期准备、实施过程监督、竣工验收等。建立健全项目管理的信息化平台，实现项目的实时跟踪和监控，确保项目按照计划推进。</w:t>
      </w:r>
    </w:p>
    <w:p w14:paraId="6F3BE00A">
      <w:pPr>
        <w:spacing w:line="580" w:lineRule="exact"/>
        <w:ind w:firstLine="600" w:firstLineChars="200"/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六、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相关信息</w:t>
      </w:r>
    </w:p>
    <w:tbl>
      <w:tblPr>
        <w:tblStyle w:val="8"/>
        <w:tblW w:w="97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4665"/>
        <w:gridCol w:w="1297"/>
        <w:gridCol w:w="1583"/>
      </w:tblGrid>
      <w:tr w14:paraId="417A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08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7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AA7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完成值</w:t>
            </w:r>
          </w:p>
        </w:tc>
      </w:tr>
      <w:tr w14:paraId="0751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过程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资金管理</w:t>
            </w:r>
          </w:p>
        </w:tc>
        <w:tc>
          <w:tcPr>
            <w:tcW w:w="46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6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指标1：资金到位率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  <w:tc>
          <w:tcPr>
            <w:tcW w:w="1583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center"/>
          </w:tcPr>
          <w:p w14:paraId="0AA0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</w:tr>
      <w:tr w14:paraId="2FE1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D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指标2：预算执行率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  <w:tc>
          <w:tcPr>
            <w:tcW w:w="1583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center"/>
          </w:tcPr>
          <w:p w14:paraId="3DD7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</w:tr>
      <w:tr w14:paraId="6A30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指标3：项目收益合理性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  <w:tc>
          <w:tcPr>
            <w:tcW w:w="1583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center"/>
          </w:tcPr>
          <w:p w14:paraId="225C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</w:tr>
      <w:tr w14:paraId="4F4D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5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指标4：资金使用合规性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0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合规</w:t>
            </w:r>
          </w:p>
        </w:tc>
        <w:tc>
          <w:tcPr>
            <w:tcW w:w="1583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center"/>
          </w:tcPr>
          <w:p w14:paraId="2B9A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合规</w:t>
            </w:r>
          </w:p>
        </w:tc>
      </w:tr>
      <w:tr w14:paraId="294BB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组织实施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7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指标1：管理制度健全性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健全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B6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2项不健全</w:t>
            </w:r>
          </w:p>
        </w:tc>
      </w:tr>
      <w:tr w14:paraId="1E07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C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指标2：制度执行有效性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488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</w:t>
            </w:r>
          </w:p>
        </w:tc>
      </w:tr>
      <w:tr w14:paraId="7BB9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3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指标1：装修工程完工率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A5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5CEE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8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指标2：市政完工率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6E1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043A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E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指标1：各工序施工质量达标率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A5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</w:tr>
      <w:tr w14:paraId="5321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0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指标1：装修工程完成及时率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305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</w:tr>
      <w:tr w14:paraId="79AD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1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指标2：市政工程完成及时率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43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不及时</w:t>
            </w:r>
          </w:p>
        </w:tc>
      </w:tr>
      <w:tr w14:paraId="43FB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2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指标1：建安工程费用成本控制率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不高于批复投入资金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21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不高于批复投入资金</w:t>
            </w:r>
          </w:p>
        </w:tc>
      </w:tr>
      <w:tr w14:paraId="47FA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经济效益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5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指标1：项目实施是否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促进城市更新，提高医疗水平，提升生活质量，促进经济高质量发展，是否保障居民的基本医疗需求，提供少量就业岗位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9D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较好</w:t>
            </w:r>
          </w:p>
        </w:tc>
      </w:tr>
      <w:tr w14:paraId="42C1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8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指标1：项目实施是否促进医疗卫生事业健康快速发展，提升医疗服务水平，满足堰桥街道区域及其周边社区居民的医疗需求，能有效地改善医疗卫生条件，满足人民群众就近医疗及人民健康的需求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改善、提高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4A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改善、提高</w:t>
            </w:r>
          </w:p>
        </w:tc>
      </w:tr>
      <w:tr w14:paraId="1BD36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生态效益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5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指标1：项目实施过程中是否坚持生态环保原则，是否完善了公共配套设施，绿化、净化、美化达到人居要求；项目施工是否对周边环境有影响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完善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14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完善</w:t>
            </w:r>
          </w:p>
        </w:tc>
      </w:tr>
      <w:tr w14:paraId="4203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可持续发展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4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指标1：项目建成后，对为是否符合群众的需求、惠及群众，完善城市配套、满足人民群众就近医疗及人民健康的需求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良性影响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64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良性影响</w:t>
            </w:r>
          </w:p>
        </w:tc>
      </w:tr>
      <w:tr w14:paraId="1F56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080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5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指标1：群众满意率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0168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6E2A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</w:tbl>
    <w:p w14:paraId="6C77C2CC">
      <w:pPr>
        <w:numPr>
          <w:ilvl w:val="0"/>
          <w:numId w:val="0"/>
        </w:numPr>
        <w:spacing w:line="580" w:lineRule="exact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type w:val="continuous"/>
      <w:pgSz w:w="11910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B0A3E3-D516-4DE4-87C6-7325E9690B6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6538377-6509-4CE9-9398-4B5B09C4E5B8}"/>
  </w:font>
  <w:font w:name="方正黑体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3" w:fontKey="{EB06DF47-A2D7-4CC3-8503-960348E6C18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A3E004E-709F-4CBA-BE35-C1D04C95C3FF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D915B79A-A423-4629-A519-E8F5C7ED3AE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E379113-81C3-4EB9-918B-022B50C1430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A90C8AFD-6227-43E2-995B-9A6A9D8036E5}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3854F5"/>
    <w:multiLevelType w:val="singleLevel"/>
    <w:tmpl w:val="AA3854F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49B4A9"/>
    <w:multiLevelType w:val="singleLevel"/>
    <w:tmpl w:val="1649B4A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YThiZjU3YWY2YWRjZDU5ZGNhMWU5ZWY5MWE4YTUifQ=="/>
  </w:docVars>
  <w:rsids>
    <w:rsidRoot w:val="006A0286"/>
    <w:rsid w:val="0000186F"/>
    <w:rsid w:val="00027842"/>
    <w:rsid w:val="00063F0D"/>
    <w:rsid w:val="000B038F"/>
    <w:rsid w:val="000F0010"/>
    <w:rsid w:val="001076FD"/>
    <w:rsid w:val="00112A3C"/>
    <w:rsid w:val="0011501C"/>
    <w:rsid w:val="0012335B"/>
    <w:rsid w:val="001D43CE"/>
    <w:rsid w:val="001E1F08"/>
    <w:rsid w:val="001F07B2"/>
    <w:rsid w:val="001F5652"/>
    <w:rsid w:val="002034C4"/>
    <w:rsid w:val="00223670"/>
    <w:rsid w:val="002F39B9"/>
    <w:rsid w:val="00317F35"/>
    <w:rsid w:val="003D4D43"/>
    <w:rsid w:val="00412A90"/>
    <w:rsid w:val="00427AA3"/>
    <w:rsid w:val="00453872"/>
    <w:rsid w:val="00485FCA"/>
    <w:rsid w:val="00496584"/>
    <w:rsid w:val="004B1555"/>
    <w:rsid w:val="004E3E98"/>
    <w:rsid w:val="004F2889"/>
    <w:rsid w:val="00541FD2"/>
    <w:rsid w:val="0055497B"/>
    <w:rsid w:val="005578F3"/>
    <w:rsid w:val="0058181F"/>
    <w:rsid w:val="005C5968"/>
    <w:rsid w:val="005D094F"/>
    <w:rsid w:val="005D61F8"/>
    <w:rsid w:val="006032DC"/>
    <w:rsid w:val="00677777"/>
    <w:rsid w:val="006A0286"/>
    <w:rsid w:val="006F1257"/>
    <w:rsid w:val="006F2AB8"/>
    <w:rsid w:val="00705B52"/>
    <w:rsid w:val="0072674E"/>
    <w:rsid w:val="007416BA"/>
    <w:rsid w:val="0075652D"/>
    <w:rsid w:val="00784065"/>
    <w:rsid w:val="007A754E"/>
    <w:rsid w:val="007E6BED"/>
    <w:rsid w:val="00830C91"/>
    <w:rsid w:val="008C735A"/>
    <w:rsid w:val="008D5A51"/>
    <w:rsid w:val="008D7527"/>
    <w:rsid w:val="008F6FC9"/>
    <w:rsid w:val="00926E98"/>
    <w:rsid w:val="0095504B"/>
    <w:rsid w:val="009B2D68"/>
    <w:rsid w:val="009B2FFF"/>
    <w:rsid w:val="00A14DE2"/>
    <w:rsid w:val="00A72387"/>
    <w:rsid w:val="00A863A2"/>
    <w:rsid w:val="00AA24DC"/>
    <w:rsid w:val="00AC69E3"/>
    <w:rsid w:val="00B14C89"/>
    <w:rsid w:val="00B33955"/>
    <w:rsid w:val="00BD1F01"/>
    <w:rsid w:val="00BD61D9"/>
    <w:rsid w:val="00CB64D3"/>
    <w:rsid w:val="00D20830"/>
    <w:rsid w:val="00D71C46"/>
    <w:rsid w:val="00D855DD"/>
    <w:rsid w:val="00D85F96"/>
    <w:rsid w:val="00DE067D"/>
    <w:rsid w:val="00DF053C"/>
    <w:rsid w:val="00E1011A"/>
    <w:rsid w:val="00E70A55"/>
    <w:rsid w:val="00EB03FD"/>
    <w:rsid w:val="00ED06B2"/>
    <w:rsid w:val="00EF65E3"/>
    <w:rsid w:val="00F161C4"/>
    <w:rsid w:val="00F35A70"/>
    <w:rsid w:val="00F4202D"/>
    <w:rsid w:val="00FB5E7E"/>
    <w:rsid w:val="00FC405A"/>
    <w:rsid w:val="00FC7877"/>
    <w:rsid w:val="01423BB7"/>
    <w:rsid w:val="02096D17"/>
    <w:rsid w:val="02D86859"/>
    <w:rsid w:val="04651A23"/>
    <w:rsid w:val="05B86E99"/>
    <w:rsid w:val="05F45A09"/>
    <w:rsid w:val="07691ADF"/>
    <w:rsid w:val="09D92F4C"/>
    <w:rsid w:val="0B0A3CE5"/>
    <w:rsid w:val="0B4A1806"/>
    <w:rsid w:val="0B8937D6"/>
    <w:rsid w:val="0D112E31"/>
    <w:rsid w:val="0E5E0EE0"/>
    <w:rsid w:val="0F2E7896"/>
    <w:rsid w:val="0FF31AF2"/>
    <w:rsid w:val="13DA3AAF"/>
    <w:rsid w:val="14A5684C"/>
    <w:rsid w:val="161A43BF"/>
    <w:rsid w:val="164B6F7F"/>
    <w:rsid w:val="181903F6"/>
    <w:rsid w:val="1D3958BE"/>
    <w:rsid w:val="1F516676"/>
    <w:rsid w:val="205407B4"/>
    <w:rsid w:val="22E31477"/>
    <w:rsid w:val="24FD6FB2"/>
    <w:rsid w:val="29115E06"/>
    <w:rsid w:val="29CF01CD"/>
    <w:rsid w:val="2AA57E49"/>
    <w:rsid w:val="2EDE1B52"/>
    <w:rsid w:val="31AA161B"/>
    <w:rsid w:val="331217FF"/>
    <w:rsid w:val="3739694B"/>
    <w:rsid w:val="3AB900AC"/>
    <w:rsid w:val="40625073"/>
    <w:rsid w:val="43326C4D"/>
    <w:rsid w:val="434C51DA"/>
    <w:rsid w:val="46682D4B"/>
    <w:rsid w:val="46E47C14"/>
    <w:rsid w:val="474451A1"/>
    <w:rsid w:val="477E6905"/>
    <w:rsid w:val="49231089"/>
    <w:rsid w:val="49C01457"/>
    <w:rsid w:val="505619C9"/>
    <w:rsid w:val="54A159E1"/>
    <w:rsid w:val="54F04F26"/>
    <w:rsid w:val="58095D77"/>
    <w:rsid w:val="592E1CD5"/>
    <w:rsid w:val="5ABA77FD"/>
    <w:rsid w:val="5C325326"/>
    <w:rsid w:val="5C4E1BEB"/>
    <w:rsid w:val="618E1B4E"/>
    <w:rsid w:val="629152E7"/>
    <w:rsid w:val="63CC1360"/>
    <w:rsid w:val="69531548"/>
    <w:rsid w:val="6B7C455F"/>
    <w:rsid w:val="6EDE4C5C"/>
    <w:rsid w:val="75A82C1C"/>
    <w:rsid w:val="75BB39EF"/>
    <w:rsid w:val="7D7710D5"/>
    <w:rsid w:val="7EF40D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ind w:left="100"/>
      <w:outlineLvl w:val="0"/>
    </w:pPr>
    <w:rPr>
      <w:rFonts w:ascii="宋体" w:hAnsi="宋体" w:eastAsia="宋体"/>
      <w:sz w:val="36"/>
      <w:szCs w:val="36"/>
    </w:rPr>
  </w:style>
  <w:style w:type="paragraph" w:styleId="3">
    <w:name w:val="heading 2"/>
    <w:basedOn w:val="1"/>
    <w:next w:val="1"/>
    <w:autoRedefine/>
    <w:qFormat/>
    <w:uiPriority w:val="1"/>
    <w:pPr>
      <w:ind w:left="-21" w:firstLine="2592"/>
      <w:outlineLvl w:val="1"/>
    </w:pPr>
    <w:rPr>
      <w:rFonts w:ascii="宋体" w:hAnsi="宋体" w:eastAsia="宋体"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1"/>
    <w:pPr>
      <w:spacing w:before="207"/>
      <w:ind w:left="120"/>
    </w:pPr>
    <w:rPr>
      <w:rFonts w:ascii="宋体" w:hAnsi="宋体" w:eastAsia="宋体"/>
      <w:sz w:val="30"/>
      <w:szCs w:val="30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autoRedefine/>
    <w:qFormat/>
    <w:uiPriority w:val="1"/>
  </w:style>
  <w:style w:type="paragraph" w:customStyle="1" w:styleId="13">
    <w:name w:val="Table Paragraph"/>
    <w:basedOn w:val="1"/>
    <w:autoRedefine/>
    <w:qFormat/>
    <w:uiPriority w:val="1"/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黑体_GBK" w:hAnsi="方正黑体_GBK" w:cs="方正黑体_GBK" w:eastAsiaTheme="minorEastAsia"/>
      <w:color w:val="000000"/>
      <w:sz w:val="24"/>
      <w:szCs w:val="24"/>
      <w:lang w:val="en-US" w:eastAsia="en-US" w:bidi="ar-SA"/>
    </w:rPr>
  </w:style>
  <w:style w:type="character" w:customStyle="1" w:styleId="15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2381</Words>
  <Characters>2509</Characters>
  <Lines>14</Lines>
  <Paragraphs>4</Paragraphs>
  <TotalTime>2548</TotalTime>
  <ScaleCrop>false</ScaleCrop>
  <LinksUpToDate>false</LinksUpToDate>
  <CharactersWithSpaces>2525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2023-02-25T11:12:00Z</dcterms:created>
  <dc:creator>张肖军(拟稿)</dc:creator>
  <cp:lastModifiedBy>Q.</cp:lastModifiedBy>
  <dcterms:modified xsi:type="dcterms:W3CDTF">2026-07-17T01:51:48Z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Adobe Acrobat Pro 11.0.7</vt:lpwstr>
  </property>
  <property fmtid="{D5CDD505-2E9C-101B-9397-08002B2CF9AE}" pid="4" name="LastSaved">
    <vt:filetime>2021-08-19T00:00:00Z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6A5C25E60B01406391A9E87979DAFE0B_13</vt:lpwstr>
  </property>
  <property fmtid="{D5CDD505-2E9C-101B-9397-08002B2CF9AE}" pid="7" name="KSOTemplateDocerSaveRecord">
    <vt:lpwstr>eyJoZGlkIjoiYWQ2OGZkOGU5MjRhYjgzZTBkODk3ZTNjNWRjOTk4OWEiLCJ1c2VySWQiOiI2NDQ0OTMxODIifQ==</vt:lpwstr>
  </property>
</Properties>
</file>