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D285D">
      <w:pPr>
        <w:widowControl/>
        <w:spacing w:line="360" w:lineRule="auto"/>
        <w:jc w:val="center"/>
        <w:rPr>
          <w:rFonts w:hint="eastAsia"/>
          <w:b/>
          <w:color w:val="auto"/>
          <w:sz w:val="52"/>
          <w:szCs w:val="52"/>
          <w:highlight w:val="none"/>
          <w:lang w:eastAsia="zh-CN"/>
        </w:rPr>
      </w:pPr>
      <w:bookmarkStart w:id="0" w:name="_Toc37076409"/>
    </w:p>
    <w:p w14:paraId="78F92DE2">
      <w:pPr>
        <w:widowControl/>
        <w:spacing w:line="360" w:lineRule="auto"/>
        <w:jc w:val="center"/>
        <w:rPr>
          <w:rFonts w:hint="eastAsia"/>
          <w:b/>
          <w:color w:val="auto"/>
          <w:sz w:val="52"/>
          <w:szCs w:val="52"/>
          <w:highlight w:val="none"/>
          <w:lang w:eastAsia="zh-CN"/>
        </w:rPr>
      </w:pPr>
    </w:p>
    <w:p w14:paraId="12AE04C0">
      <w:pPr>
        <w:spacing w:line="360" w:lineRule="auto"/>
        <w:jc w:val="center"/>
        <w:rPr>
          <w:rFonts w:hint="eastAsia"/>
          <w:b/>
          <w:color w:val="auto"/>
          <w:sz w:val="52"/>
          <w:szCs w:val="52"/>
          <w:highlight w:val="none"/>
          <w:lang w:eastAsia="zh-CN"/>
        </w:rPr>
      </w:pPr>
      <w:r>
        <w:rPr>
          <w:rFonts w:hint="eastAsia"/>
          <w:b/>
          <w:color w:val="auto"/>
          <w:sz w:val="52"/>
          <w:szCs w:val="52"/>
          <w:highlight w:val="none"/>
          <w:lang w:eastAsia="zh-CN"/>
        </w:rPr>
        <w:t>2026年第二批次城市更新提优市政修复零星工程</w:t>
      </w:r>
    </w:p>
    <w:p w14:paraId="6322EF53">
      <w:pPr>
        <w:spacing w:line="360" w:lineRule="auto"/>
        <w:jc w:val="center"/>
        <w:rPr>
          <w:rFonts w:hint="eastAsia"/>
          <w:b/>
          <w:color w:val="auto"/>
          <w:sz w:val="52"/>
          <w:szCs w:val="52"/>
          <w:highlight w:val="none"/>
          <w:lang w:eastAsia="zh-CN"/>
        </w:rPr>
      </w:pPr>
    </w:p>
    <w:p w14:paraId="742A294C">
      <w:pPr>
        <w:spacing w:line="360" w:lineRule="auto"/>
        <w:jc w:val="center"/>
        <w:rPr>
          <w:rFonts w:hint="eastAsia"/>
          <w:b/>
          <w:color w:val="auto"/>
          <w:sz w:val="52"/>
          <w:szCs w:val="52"/>
          <w:highlight w:val="none"/>
          <w:lang w:eastAsia="zh-CN"/>
        </w:rPr>
      </w:pPr>
    </w:p>
    <w:p w14:paraId="07C2A0B6">
      <w:pPr>
        <w:spacing w:line="360" w:lineRule="auto"/>
        <w:jc w:val="center"/>
        <w:rPr>
          <w:rFonts w:hint="eastAsia" w:ascii="宋体" w:hAnsi="宋体"/>
          <w:b/>
          <w:color w:val="auto"/>
          <w:sz w:val="52"/>
          <w:szCs w:val="52"/>
          <w:highlight w:val="none"/>
        </w:rPr>
      </w:pPr>
      <w:r>
        <w:rPr>
          <w:rFonts w:hint="eastAsia" w:ascii="宋体" w:hAnsi="宋体"/>
          <w:b/>
          <w:color w:val="auto"/>
          <w:sz w:val="52"/>
          <w:szCs w:val="52"/>
          <w:highlight w:val="none"/>
        </w:rPr>
        <w:t>招</w:t>
      </w:r>
    </w:p>
    <w:p w14:paraId="5F44C0E8">
      <w:pPr>
        <w:spacing w:line="360" w:lineRule="auto"/>
        <w:jc w:val="center"/>
        <w:rPr>
          <w:rFonts w:hint="eastAsia" w:ascii="宋体" w:hAnsi="宋体"/>
          <w:b/>
          <w:color w:val="auto"/>
          <w:sz w:val="52"/>
          <w:szCs w:val="52"/>
          <w:highlight w:val="none"/>
        </w:rPr>
      </w:pPr>
      <w:r>
        <w:rPr>
          <w:rFonts w:hint="eastAsia" w:ascii="宋体" w:hAnsi="宋体"/>
          <w:b/>
          <w:color w:val="auto"/>
          <w:sz w:val="52"/>
          <w:szCs w:val="52"/>
          <w:highlight w:val="none"/>
        </w:rPr>
        <w:t>标</w:t>
      </w:r>
    </w:p>
    <w:p w14:paraId="66D9B07A">
      <w:pPr>
        <w:spacing w:line="360" w:lineRule="auto"/>
        <w:jc w:val="center"/>
        <w:rPr>
          <w:rFonts w:hint="eastAsia" w:ascii="宋体" w:hAnsi="宋体"/>
          <w:b/>
          <w:color w:val="auto"/>
          <w:sz w:val="52"/>
          <w:szCs w:val="52"/>
          <w:highlight w:val="none"/>
        </w:rPr>
      </w:pPr>
      <w:r>
        <w:rPr>
          <w:rFonts w:hint="eastAsia" w:ascii="宋体" w:hAnsi="宋体"/>
          <w:b/>
          <w:color w:val="auto"/>
          <w:sz w:val="52"/>
          <w:szCs w:val="52"/>
          <w:highlight w:val="none"/>
        </w:rPr>
        <w:t>文</w:t>
      </w:r>
    </w:p>
    <w:p w14:paraId="1312C565">
      <w:pPr>
        <w:spacing w:line="360" w:lineRule="auto"/>
        <w:jc w:val="center"/>
        <w:rPr>
          <w:rFonts w:hint="eastAsia" w:ascii="宋体" w:hAnsi="宋体"/>
          <w:b/>
          <w:color w:val="auto"/>
          <w:sz w:val="52"/>
          <w:szCs w:val="52"/>
          <w:highlight w:val="none"/>
        </w:rPr>
      </w:pPr>
      <w:r>
        <w:rPr>
          <w:rFonts w:hint="eastAsia" w:ascii="宋体" w:hAnsi="宋体"/>
          <w:b/>
          <w:color w:val="auto"/>
          <w:sz w:val="52"/>
          <w:szCs w:val="52"/>
          <w:highlight w:val="none"/>
        </w:rPr>
        <w:t>件</w:t>
      </w:r>
    </w:p>
    <w:p w14:paraId="1D4FC207">
      <w:pPr>
        <w:pStyle w:val="9"/>
        <w:spacing w:before="156" w:after="156" w:line="360" w:lineRule="auto"/>
        <w:jc w:val="both"/>
        <w:rPr>
          <w:rFonts w:hint="eastAsia"/>
          <w:color w:val="auto"/>
          <w:sz w:val="28"/>
          <w:szCs w:val="28"/>
          <w:highlight w:val="none"/>
        </w:rPr>
      </w:pPr>
    </w:p>
    <w:p w14:paraId="20AF30CF">
      <w:pPr>
        <w:widowControl/>
        <w:spacing w:line="360" w:lineRule="auto"/>
        <w:jc w:val="left"/>
        <w:rPr>
          <w:rFonts w:hint="eastAsia"/>
          <w:color w:val="auto"/>
          <w:sz w:val="28"/>
          <w:szCs w:val="28"/>
          <w:highlight w:val="none"/>
        </w:rPr>
      </w:pPr>
    </w:p>
    <w:p w14:paraId="0582E590">
      <w:pPr>
        <w:widowControl/>
        <w:spacing w:line="360" w:lineRule="auto"/>
        <w:ind w:left="1960" w:hanging="1960" w:hangingChars="700"/>
        <w:jc w:val="left"/>
        <w:rPr>
          <w:rFonts w:hint="eastAsia"/>
          <w:color w:val="auto"/>
          <w:sz w:val="28"/>
          <w:szCs w:val="28"/>
          <w:highlight w:val="none"/>
        </w:rPr>
      </w:pPr>
      <w:r>
        <w:rPr>
          <w:rFonts w:hint="eastAsia"/>
          <w:color w:val="auto"/>
          <w:sz w:val="28"/>
          <w:szCs w:val="28"/>
          <w:highlight w:val="none"/>
        </w:rPr>
        <w:t>招</w:t>
      </w:r>
      <w:r>
        <w:rPr>
          <w:color w:val="auto"/>
          <w:sz w:val="28"/>
          <w:szCs w:val="28"/>
          <w:highlight w:val="none"/>
        </w:rPr>
        <w:t xml:space="preserve">  </w:t>
      </w:r>
      <w:r>
        <w:rPr>
          <w:rFonts w:hint="eastAsia"/>
          <w:color w:val="auto"/>
          <w:sz w:val="28"/>
          <w:szCs w:val="28"/>
          <w:highlight w:val="none"/>
        </w:rPr>
        <w:t xml:space="preserve"> 标</w:t>
      </w:r>
      <w:r>
        <w:rPr>
          <w:color w:val="auto"/>
          <w:sz w:val="28"/>
          <w:szCs w:val="28"/>
          <w:highlight w:val="none"/>
        </w:rPr>
        <w:t xml:space="preserve"> </w:t>
      </w:r>
      <w:r>
        <w:rPr>
          <w:rFonts w:hint="eastAsia"/>
          <w:color w:val="auto"/>
          <w:sz w:val="28"/>
          <w:szCs w:val="28"/>
          <w:highlight w:val="none"/>
        </w:rPr>
        <w:t xml:space="preserve"> 人</w:t>
      </w:r>
      <w:r>
        <w:rPr>
          <w:rFonts w:hint="eastAsia"/>
          <w:color w:val="auto"/>
          <w:sz w:val="28"/>
          <w:szCs w:val="28"/>
          <w:highlight w:val="none"/>
          <w:lang w:eastAsia="zh-CN"/>
        </w:rPr>
        <w:t>：</w:t>
      </w:r>
      <w:r>
        <w:rPr>
          <w:rFonts w:hint="eastAsia"/>
          <w:color w:val="auto"/>
          <w:sz w:val="28"/>
          <w:szCs w:val="28"/>
          <w:highlight w:val="none"/>
        </w:rPr>
        <w:t xml:space="preserve"> </w:t>
      </w:r>
      <w:r>
        <w:rPr>
          <w:rFonts w:hint="eastAsia"/>
          <w:color w:val="auto"/>
          <w:sz w:val="28"/>
          <w:szCs w:val="28"/>
          <w:highlight w:val="none"/>
          <w:u w:val="single"/>
          <w:lang w:eastAsia="zh-CN"/>
        </w:rPr>
        <w:t>无锡前丰农业有限公司</w:t>
      </w:r>
      <w:r>
        <w:rPr>
          <w:rFonts w:hint="eastAsia"/>
          <w:color w:val="auto"/>
          <w:sz w:val="28"/>
          <w:szCs w:val="28"/>
          <w:highlight w:val="none"/>
          <w:u w:val="single"/>
          <w:lang w:val="en-US" w:eastAsia="zh-CN"/>
        </w:rPr>
        <w:t xml:space="preserve">               </w:t>
      </w:r>
      <w:r>
        <w:rPr>
          <w:rFonts w:hint="eastAsia"/>
          <w:color w:val="auto"/>
          <w:sz w:val="28"/>
          <w:szCs w:val="28"/>
          <w:highlight w:val="none"/>
          <w:u w:val="single"/>
        </w:rPr>
        <w:t>（盖章）</w:t>
      </w:r>
    </w:p>
    <w:p w14:paraId="40564E82">
      <w:pPr>
        <w:spacing w:line="360" w:lineRule="auto"/>
        <w:rPr>
          <w:rFonts w:hint="eastAsia"/>
          <w:color w:val="auto"/>
          <w:sz w:val="28"/>
          <w:szCs w:val="28"/>
          <w:highlight w:val="none"/>
        </w:rPr>
      </w:pPr>
      <w:r>
        <w:rPr>
          <w:rFonts w:hint="eastAsia"/>
          <w:color w:val="auto"/>
          <w:sz w:val="28"/>
          <w:szCs w:val="28"/>
          <w:highlight w:val="none"/>
        </w:rPr>
        <w:t>法定代表人或其委托代理人：</w:t>
      </w:r>
      <w:r>
        <w:rPr>
          <w:rFonts w:hint="eastAsia" w:ascii="Times New Roman" w:hAnsi="Times New Roman" w:eastAsia="宋体" w:cs="Times New Roman"/>
          <w:color w:val="auto"/>
          <w:sz w:val="28"/>
          <w:szCs w:val="28"/>
          <w:highlight w:val="none"/>
          <w:u w:val="single"/>
        </w:rPr>
        <w:t xml:space="preserve">   </w:t>
      </w:r>
      <w:r>
        <w:rPr>
          <w:rFonts w:hint="eastAsia" w:ascii="Times New Roman" w:hAnsi="Times New Roman" w:eastAsia="宋体" w:cs="Times New Roman"/>
          <w:color w:val="auto"/>
          <w:sz w:val="28"/>
          <w:szCs w:val="28"/>
          <w:highlight w:val="none"/>
          <w:u w:val="single"/>
          <w:lang w:val="en-US" w:eastAsia="zh-CN"/>
        </w:rPr>
        <w:t xml:space="preserve">             </w:t>
      </w:r>
      <w:r>
        <w:rPr>
          <w:rFonts w:hint="eastAsia" w:cs="Times New Roman"/>
          <w:color w:val="auto"/>
          <w:sz w:val="28"/>
          <w:szCs w:val="28"/>
          <w:highlight w:val="none"/>
          <w:u w:val="single"/>
          <w:lang w:val="en-US" w:eastAsia="zh-CN"/>
        </w:rPr>
        <w:t xml:space="preserve">    </w:t>
      </w:r>
      <w:r>
        <w:rPr>
          <w:rFonts w:hint="eastAsia" w:ascii="Times New Roman" w:hAnsi="Times New Roman" w:eastAsia="宋体" w:cs="Times New Roman"/>
          <w:color w:val="auto"/>
          <w:sz w:val="28"/>
          <w:szCs w:val="28"/>
          <w:highlight w:val="none"/>
          <w:u w:val="single"/>
          <w:lang w:val="en-US" w:eastAsia="zh-CN"/>
        </w:rPr>
        <w:t xml:space="preserve">       </w:t>
      </w:r>
      <w:r>
        <w:rPr>
          <w:rFonts w:hint="eastAsia" w:ascii="Times New Roman" w:hAnsi="Times New Roman" w:eastAsia="宋体" w:cs="Times New Roman"/>
          <w:color w:val="auto"/>
          <w:sz w:val="28"/>
          <w:szCs w:val="28"/>
          <w:highlight w:val="none"/>
          <w:u w:val="single"/>
        </w:rPr>
        <w:t xml:space="preserve">    </w:t>
      </w:r>
    </w:p>
    <w:p w14:paraId="5DEB62E4">
      <w:pPr>
        <w:spacing w:line="360" w:lineRule="auto"/>
        <w:rPr>
          <w:rFonts w:hint="eastAsia"/>
          <w:color w:val="auto"/>
          <w:sz w:val="28"/>
          <w:szCs w:val="28"/>
          <w:highlight w:val="none"/>
          <w:u w:val="single"/>
        </w:rPr>
      </w:pPr>
      <w:r>
        <w:rPr>
          <w:rFonts w:hint="eastAsia"/>
          <w:color w:val="auto"/>
          <w:sz w:val="28"/>
          <w:szCs w:val="28"/>
          <w:highlight w:val="none"/>
        </w:rPr>
        <w:t>招标代理机构</w:t>
      </w:r>
      <w:r>
        <w:rPr>
          <w:rFonts w:hint="eastAsia"/>
          <w:color w:val="auto"/>
          <w:sz w:val="28"/>
          <w:szCs w:val="28"/>
          <w:highlight w:val="none"/>
          <w:lang w:eastAsia="zh-CN"/>
        </w:rPr>
        <w:t>：</w:t>
      </w:r>
      <w:r>
        <w:rPr>
          <w:rFonts w:hint="eastAsia"/>
          <w:color w:val="auto"/>
          <w:sz w:val="28"/>
          <w:szCs w:val="28"/>
          <w:highlight w:val="none"/>
          <w:u w:val="single"/>
        </w:rPr>
        <w:t xml:space="preserve"> </w:t>
      </w:r>
      <w:r>
        <w:rPr>
          <w:sz w:val="28"/>
          <w:szCs w:val="28"/>
          <w:highlight w:val="none"/>
          <w:u w:val="single"/>
        </w:rPr>
        <w:t>永道工程咨询（江苏）有限公司</w:t>
      </w:r>
      <w:r>
        <w:rPr>
          <w:rFonts w:hint="eastAsia"/>
          <w:color w:val="auto"/>
          <w:sz w:val="28"/>
          <w:szCs w:val="28"/>
          <w:highlight w:val="none"/>
          <w:u w:val="single"/>
          <w:lang w:val="en-US" w:eastAsia="zh-CN"/>
        </w:rPr>
        <w:t xml:space="preserve">      </w:t>
      </w:r>
      <w:r>
        <w:rPr>
          <w:rFonts w:hint="eastAsia"/>
          <w:color w:val="auto"/>
          <w:sz w:val="28"/>
          <w:szCs w:val="28"/>
          <w:highlight w:val="none"/>
          <w:u w:val="single"/>
        </w:rPr>
        <w:t>（盖章）</w:t>
      </w:r>
    </w:p>
    <w:p w14:paraId="53399DE8">
      <w:pPr>
        <w:spacing w:line="360" w:lineRule="auto"/>
        <w:rPr>
          <w:rFonts w:hint="eastAsia"/>
          <w:color w:val="auto"/>
          <w:sz w:val="28"/>
          <w:szCs w:val="28"/>
          <w:highlight w:val="none"/>
        </w:rPr>
      </w:pPr>
      <w:r>
        <w:rPr>
          <w:rFonts w:hint="eastAsia"/>
          <w:color w:val="auto"/>
          <w:sz w:val="28"/>
          <w:szCs w:val="28"/>
          <w:highlight w:val="none"/>
        </w:rPr>
        <w:t>法定代表人或其委托代理人：</w:t>
      </w:r>
      <w:r>
        <w:rPr>
          <w:rFonts w:hint="eastAsia"/>
          <w:color w:val="auto"/>
          <w:sz w:val="28"/>
          <w:szCs w:val="28"/>
          <w:highlight w:val="none"/>
          <w:u w:val="single"/>
        </w:rPr>
        <w:t xml:space="preserve">  </w:t>
      </w:r>
      <w:r>
        <w:rPr>
          <w:rFonts w:hint="eastAsia"/>
          <w:color w:val="auto"/>
          <w:sz w:val="28"/>
          <w:szCs w:val="28"/>
          <w:highlight w:val="none"/>
          <w:u w:val="single"/>
          <w:lang w:val="en-US" w:eastAsia="zh-CN"/>
        </w:rPr>
        <w:t xml:space="preserve">                          </w:t>
      </w:r>
      <w:r>
        <w:rPr>
          <w:rFonts w:hint="eastAsia"/>
          <w:color w:val="auto"/>
          <w:sz w:val="28"/>
          <w:szCs w:val="28"/>
          <w:highlight w:val="none"/>
          <w:u w:val="single"/>
        </w:rPr>
        <w:t xml:space="preserve">   </w:t>
      </w:r>
    </w:p>
    <w:p w14:paraId="3C3CAD8F">
      <w:pPr>
        <w:spacing w:line="360" w:lineRule="auto"/>
        <w:rPr>
          <w:rFonts w:hint="eastAsia"/>
          <w:color w:val="auto"/>
          <w:sz w:val="28"/>
          <w:szCs w:val="28"/>
          <w:highlight w:val="none"/>
        </w:rPr>
      </w:pPr>
    </w:p>
    <w:p w14:paraId="72203DEC">
      <w:pPr>
        <w:spacing w:line="360" w:lineRule="auto"/>
        <w:jc w:val="center"/>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日  期：202</w:t>
      </w:r>
      <w:r>
        <w:rPr>
          <w:rFonts w:hint="eastAsia" w:ascii="Times New Roman" w:hAnsi="Times New Roman" w:eastAsia="宋体" w:cs="Times New Roman"/>
          <w:color w:val="auto"/>
          <w:sz w:val="28"/>
          <w:szCs w:val="28"/>
          <w:highlight w:val="none"/>
          <w:lang w:val="en-US" w:eastAsia="zh-CN"/>
        </w:rPr>
        <w:t>6</w:t>
      </w:r>
      <w:r>
        <w:rPr>
          <w:rFonts w:hint="eastAsia" w:ascii="Times New Roman" w:hAnsi="Times New Roman" w:eastAsia="宋体" w:cs="Times New Roman"/>
          <w:color w:val="auto"/>
          <w:sz w:val="28"/>
          <w:szCs w:val="28"/>
          <w:highlight w:val="none"/>
        </w:rPr>
        <w:t>年</w:t>
      </w:r>
      <w:r>
        <w:rPr>
          <w:rFonts w:hint="eastAsia" w:ascii="Times New Roman" w:hAnsi="Times New Roman" w:eastAsia="宋体" w:cs="Times New Roman"/>
          <w:color w:val="auto"/>
          <w:sz w:val="28"/>
          <w:szCs w:val="28"/>
          <w:highlight w:val="none"/>
          <w:lang w:val="en-US" w:eastAsia="zh-CN"/>
        </w:rPr>
        <w:t xml:space="preserve"> 7</w:t>
      </w:r>
      <w:r>
        <w:rPr>
          <w:rFonts w:hint="eastAsia" w:ascii="Times New Roman" w:hAnsi="Times New Roman" w:eastAsia="宋体" w:cs="Times New Roman"/>
          <w:color w:val="auto"/>
          <w:sz w:val="28"/>
          <w:szCs w:val="28"/>
          <w:highlight w:val="none"/>
        </w:rPr>
        <w:t>月</w:t>
      </w:r>
    </w:p>
    <w:p w14:paraId="3D66F5DD">
      <w:pPr>
        <w:spacing w:line="360" w:lineRule="auto"/>
        <w:jc w:val="center"/>
        <w:rPr>
          <w:rFonts w:hint="eastAsia" w:ascii="Times New Roman" w:hAnsi="Times New Roman" w:eastAsia="宋体" w:cs="Times New Roman"/>
          <w:b w:val="0"/>
          <w:color w:val="auto"/>
          <w:sz w:val="28"/>
          <w:szCs w:val="28"/>
          <w:highlight w:val="none"/>
        </w:rPr>
        <w:sectPr>
          <w:headerReference r:id="rId4" w:type="first"/>
          <w:footerReference r:id="rId5" w:type="first"/>
          <w:headerReference r:id="rId3" w:type="default"/>
          <w:pgSz w:w="11906" w:h="16838"/>
          <w:pgMar w:top="1304" w:right="1304" w:bottom="1304" w:left="1304" w:header="964" w:footer="1020" w:gutter="0"/>
          <w:pgNumType w:fmt="decimal" w:start="1"/>
          <w:cols w:space="720" w:num="1"/>
          <w:rtlGutter w:val="0"/>
          <w:docGrid w:type="lines" w:linePitch="312" w:charSpace="0"/>
        </w:sectPr>
      </w:pPr>
    </w:p>
    <w:p w14:paraId="61B54D0B">
      <w:pPr>
        <w:jc w:val="center"/>
        <w:rPr>
          <w:rFonts w:hint="eastAsia"/>
          <w:b/>
          <w:color w:val="auto"/>
          <w:sz w:val="44"/>
          <w:szCs w:val="44"/>
          <w:highlight w:val="none"/>
        </w:rPr>
      </w:pPr>
    </w:p>
    <w:p w14:paraId="630C9394">
      <w:pPr>
        <w:jc w:val="center"/>
        <w:rPr>
          <w:rFonts w:hint="eastAsia"/>
          <w:b/>
          <w:color w:val="auto"/>
          <w:sz w:val="44"/>
          <w:szCs w:val="44"/>
          <w:highlight w:val="none"/>
        </w:rPr>
      </w:pPr>
    </w:p>
    <w:p w14:paraId="6B0F473E">
      <w:pPr>
        <w:jc w:val="center"/>
        <w:rPr>
          <w:rFonts w:hint="eastAsia"/>
          <w:b/>
          <w:color w:val="auto"/>
          <w:sz w:val="44"/>
          <w:szCs w:val="44"/>
          <w:highlight w:val="none"/>
        </w:rPr>
      </w:pPr>
      <w:r>
        <w:rPr>
          <w:rFonts w:hint="eastAsia"/>
          <w:b/>
          <w:color w:val="auto"/>
          <w:sz w:val="44"/>
          <w:szCs w:val="44"/>
          <w:highlight w:val="none"/>
        </w:rPr>
        <w:t>目</w:t>
      </w:r>
      <w:r>
        <w:rPr>
          <w:b/>
          <w:color w:val="auto"/>
          <w:sz w:val="44"/>
          <w:szCs w:val="44"/>
          <w:highlight w:val="none"/>
        </w:rPr>
        <w:t xml:space="preserve">    </w:t>
      </w:r>
      <w:r>
        <w:rPr>
          <w:rFonts w:hint="eastAsia"/>
          <w:b/>
          <w:color w:val="auto"/>
          <w:sz w:val="44"/>
          <w:szCs w:val="44"/>
          <w:highlight w:val="none"/>
        </w:rPr>
        <w:t>录</w:t>
      </w:r>
    </w:p>
    <w:p w14:paraId="42297C49">
      <w:pPr>
        <w:jc w:val="center"/>
        <w:rPr>
          <w:color w:val="auto"/>
          <w:sz w:val="28"/>
          <w:szCs w:val="28"/>
          <w:highlight w:val="none"/>
        </w:rPr>
      </w:pPr>
    </w:p>
    <w:p w14:paraId="3593FFBF">
      <w:pPr>
        <w:spacing w:before="312" w:beforeLines="100" w:after="312" w:afterLines="100"/>
        <w:ind w:firstLine="560" w:firstLineChars="200"/>
        <w:rPr>
          <w:rFonts w:hint="eastAsia"/>
          <w:color w:val="auto"/>
          <w:sz w:val="28"/>
          <w:szCs w:val="28"/>
          <w:highlight w:val="none"/>
        </w:rPr>
      </w:pPr>
      <w:r>
        <w:rPr>
          <w:rFonts w:hint="eastAsia"/>
          <w:color w:val="auto"/>
          <w:sz w:val="28"/>
          <w:szCs w:val="28"/>
          <w:highlight w:val="none"/>
        </w:rPr>
        <w:t>一、投标须知</w:t>
      </w:r>
    </w:p>
    <w:p w14:paraId="0ECC458C">
      <w:pPr>
        <w:spacing w:before="312" w:beforeLines="100" w:after="312" w:afterLines="100"/>
        <w:ind w:firstLine="560" w:firstLineChars="200"/>
        <w:rPr>
          <w:rFonts w:hint="eastAsia"/>
          <w:color w:val="auto"/>
          <w:sz w:val="28"/>
          <w:szCs w:val="28"/>
          <w:highlight w:val="none"/>
        </w:rPr>
      </w:pPr>
      <w:r>
        <w:rPr>
          <w:rFonts w:hint="eastAsia"/>
          <w:color w:val="auto"/>
          <w:sz w:val="28"/>
          <w:szCs w:val="28"/>
          <w:highlight w:val="none"/>
        </w:rPr>
        <w:t>二、开标、定标</w:t>
      </w:r>
    </w:p>
    <w:p w14:paraId="19A71901">
      <w:pPr>
        <w:spacing w:before="312" w:beforeLines="100" w:after="312" w:afterLines="100"/>
        <w:ind w:firstLine="560" w:firstLineChars="200"/>
        <w:rPr>
          <w:rFonts w:hint="eastAsia"/>
          <w:color w:val="auto"/>
          <w:sz w:val="28"/>
          <w:szCs w:val="28"/>
          <w:highlight w:val="none"/>
        </w:rPr>
      </w:pPr>
      <w:r>
        <w:rPr>
          <w:rFonts w:hint="eastAsia"/>
          <w:color w:val="auto"/>
          <w:sz w:val="28"/>
          <w:szCs w:val="28"/>
          <w:highlight w:val="none"/>
        </w:rPr>
        <w:t>三、合同条款及附件</w:t>
      </w:r>
    </w:p>
    <w:p w14:paraId="07D6E238">
      <w:pPr>
        <w:spacing w:before="312" w:beforeLines="100" w:after="312" w:afterLines="100"/>
        <w:ind w:firstLine="560" w:firstLineChars="200"/>
        <w:rPr>
          <w:rFonts w:hint="eastAsia"/>
          <w:color w:val="auto"/>
          <w:sz w:val="28"/>
          <w:szCs w:val="28"/>
          <w:highlight w:val="none"/>
        </w:rPr>
      </w:pPr>
      <w:r>
        <w:rPr>
          <w:rFonts w:hint="eastAsia"/>
          <w:color w:val="auto"/>
          <w:sz w:val="28"/>
          <w:szCs w:val="28"/>
          <w:highlight w:val="none"/>
        </w:rPr>
        <w:t xml:space="preserve">四、附件   </w:t>
      </w:r>
    </w:p>
    <w:p w14:paraId="5E93C2D8">
      <w:pPr>
        <w:spacing w:before="312" w:beforeLines="100" w:after="312" w:afterLines="100"/>
        <w:ind w:firstLine="600" w:firstLineChars="200"/>
        <w:rPr>
          <w:rFonts w:hint="eastAsia"/>
          <w:color w:val="auto"/>
          <w:sz w:val="30"/>
          <w:szCs w:val="30"/>
          <w:highlight w:val="none"/>
        </w:rPr>
      </w:pPr>
    </w:p>
    <w:p w14:paraId="22C6A175">
      <w:pPr>
        <w:rPr>
          <w:color w:val="auto"/>
          <w:sz w:val="28"/>
          <w:szCs w:val="28"/>
          <w:highlight w:val="none"/>
        </w:rPr>
      </w:pPr>
    </w:p>
    <w:p w14:paraId="6DFAA9D2">
      <w:pPr>
        <w:rPr>
          <w:color w:val="auto"/>
          <w:sz w:val="28"/>
          <w:szCs w:val="28"/>
          <w:highlight w:val="none"/>
        </w:rPr>
      </w:pPr>
    </w:p>
    <w:p w14:paraId="55434FF8">
      <w:pPr>
        <w:tabs>
          <w:tab w:val="left" w:pos="3969"/>
        </w:tabs>
        <w:rPr>
          <w:rFonts w:hint="eastAsia" w:eastAsia="宋体"/>
          <w:color w:val="auto"/>
          <w:sz w:val="28"/>
          <w:szCs w:val="28"/>
          <w:highlight w:val="none"/>
          <w:lang w:eastAsia="zh-CN"/>
        </w:rPr>
      </w:pPr>
      <w:r>
        <w:rPr>
          <w:rFonts w:hint="eastAsia"/>
          <w:color w:val="auto"/>
          <w:sz w:val="28"/>
          <w:szCs w:val="28"/>
          <w:highlight w:val="none"/>
          <w:lang w:eastAsia="zh-CN"/>
        </w:rPr>
        <w:tab/>
      </w:r>
    </w:p>
    <w:p w14:paraId="0B25BE7C">
      <w:pPr>
        <w:rPr>
          <w:color w:val="auto"/>
          <w:sz w:val="28"/>
          <w:szCs w:val="28"/>
          <w:highlight w:val="none"/>
        </w:rPr>
      </w:pPr>
    </w:p>
    <w:p w14:paraId="526CF932">
      <w:pPr>
        <w:rPr>
          <w:color w:val="auto"/>
          <w:sz w:val="28"/>
          <w:szCs w:val="28"/>
          <w:highlight w:val="none"/>
        </w:rPr>
      </w:pPr>
    </w:p>
    <w:p w14:paraId="76745766">
      <w:pPr>
        <w:rPr>
          <w:color w:val="auto"/>
          <w:sz w:val="28"/>
          <w:szCs w:val="28"/>
          <w:highlight w:val="none"/>
        </w:rPr>
      </w:pPr>
    </w:p>
    <w:p w14:paraId="603E9260">
      <w:pPr>
        <w:rPr>
          <w:rFonts w:hint="eastAsia"/>
          <w:color w:val="auto"/>
          <w:sz w:val="28"/>
          <w:szCs w:val="28"/>
          <w:highlight w:val="none"/>
        </w:rPr>
      </w:pPr>
    </w:p>
    <w:p w14:paraId="73A631EF">
      <w:pPr>
        <w:rPr>
          <w:rFonts w:hint="eastAsia"/>
          <w:color w:val="auto"/>
          <w:sz w:val="28"/>
          <w:szCs w:val="28"/>
          <w:highlight w:val="none"/>
        </w:rPr>
      </w:pPr>
    </w:p>
    <w:p w14:paraId="10BFEA9E">
      <w:pPr>
        <w:rPr>
          <w:rFonts w:hint="eastAsia"/>
          <w:color w:val="auto"/>
          <w:sz w:val="28"/>
          <w:szCs w:val="28"/>
          <w:highlight w:val="none"/>
        </w:rPr>
      </w:pPr>
    </w:p>
    <w:p w14:paraId="33AA3831">
      <w:pPr>
        <w:rPr>
          <w:rFonts w:hint="eastAsia"/>
          <w:color w:val="auto"/>
          <w:sz w:val="28"/>
          <w:szCs w:val="28"/>
          <w:highlight w:val="none"/>
        </w:rPr>
      </w:pPr>
    </w:p>
    <w:p w14:paraId="2C29D61B">
      <w:pPr>
        <w:numPr>
          <w:ilvl w:val="0"/>
          <w:numId w:val="2"/>
        </w:numPr>
        <w:jc w:val="center"/>
        <w:rPr>
          <w:rFonts w:hint="eastAsia" w:ascii="黑体" w:eastAsia="黑体"/>
          <w:color w:val="auto"/>
          <w:sz w:val="28"/>
          <w:szCs w:val="28"/>
          <w:highlight w:val="none"/>
        </w:rPr>
      </w:pPr>
      <w:r>
        <w:rPr>
          <w:rFonts w:hint="eastAsia" w:ascii="黑体" w:eastAsia="黑体"/>
          <w:color w:val="auto"/>
          <w:sz w:val="28"/>
          <w:szCs w:val="28"/>
          <w:highlight w:val="none"/>
        </w:rPr>
        <w:t>投标须知</w:t>
      </w:r>
    </w:p>
    <w:p w14:paraId="45389809">
      <w:pPr>
        <w:widowControl/>
        <w:numPr>
          <w:ilvl w:val="0"/>
          <w:numId w:val="3"/>
        </w:numPr>
        <w:spacing w:line="435" w:lineRule="exact"/>
        <w:ind w:left="0" w:firstLine="0"/>
        <w:jc w:val="left"/>
        <w:rPr>
          <w:rFonts w:hint="eastAsia" w:ascii="宋体" w:hAnsi="宋体" w:cs="Arial"/>
          <w:b/>
          <w:bCs/>
          <w:color w:val="auto"/>
          <w:kern w:val="0"/>
          <w:sz w:val="24"/>
          <w:highlight w:val="none"/>
        </w:rPr>
      </w:pPr>
      <w:r>
        <w:rPr>
          <w:rFonts w:hint="eastAsia" w:ascii="宋体" w:hAnsi="宋体" w:cs="Arial"/>
          <w:b/>
          <w:bCs/>
          <w:color w:val="auto"/>
          <w:kern w:val="0"/>
          <w:sz w:val="24"/>
          <w:highlight w:val="none"/>
        </w:rPr>
        <w:t>项目概况与招标范围</w:t>
      </w:r>
    </w:p>
    <w:p w14:paraId="34152E9D">
      <w:pPr>
        <w:widowControl/>
        <w:spacing w:line="435" w:lineRule="exact"/>
        <w:jc w:val="left"/>
        <w:rPr>
          <w:rFonts w:hint="eastAsia" w:ascii="宋体" w:hAnsi="宋体" w:cs="Arial"/>
          <w:b/>
          <w:bCs/>
          <w:color w:val="auto"/>
          <w:kern w:val="0"/>
          <w:sz w:val="24"/>
          <w:highlight w:val="none"/>
        </w:rPr>
      </w:pPr>
      <w:r>
        <w:rPr>
          <w:rFonts w:hint="eastAsia" w:ascii="宋体" w:hAnsi="宋体" w:cs="Arial"/>
          <w:color w:val="auto"/>
          <w:kern w:val="0"/>
          <w:sz w:val="24"/>
          <w:highlight w:val="none"/>
        </w:rPr>
        <w:t>1.１建设地点：</w:t>
      </w:r>
      <w:r>
        <w:rPr>
          <w:rFonts w:hint="eastAsia" w:ascii="宋体" w:hAnsi="宋体" w:cs="Arial"/>
          <w:color w:val="auto"/>
          <w:kern w:val="0"/>
          <w:sz w:val="24"/>
          <w:highlight w:val="none"/>
          <w:u w:val="single"/>
        </w:rPr>
        <w:t>见招标公告</w:t>
      </w:r>
      <w:r>
        <w:rPr>
          <w:rFonts w:hint="eastAsia" w:ascii="宋体" w:hAnsi="宋体" w:cs="Arial"/>
          <w:color w:val="auto"/>
          <w:kern w:val="0"/>
          <w:sz w:val="24"/>
          <w:highlight w:val="none"/>
        </w:rPr>
        <w:t>；</w:t>
      </w:r>
    </w:p>
    <w:p w14:paraId="7DF28D63">
      <w:pPr>
        <w:widowControl/>
        <w:spacing w:line="435" w:lineRule="exact"/>
        <w:jc w:val="left"/>
        <w:rPr>
          <w:rFonts w:hint="eastAsia" w:ascii="宋体" w:hAnsi="宋体" w:cs="Arial"/>
          <w:color w:val="auto"/>
          <w:kern w:val="0"/>
          <w:sz w:val="24"/>
          <w:highlight w:val="none"/>
        </w:rPr>
      </w:pPr>
      <w:r>
        <w:rPr>
          <w:rFonts w:hint="eastAsia" w:ascii="宋体" w:hAnsi="宋体" w:cs="Arial"/>
          <w:color w:val="auto"/>
          <w:kern w:val="0"/>
          <w:sz w:val="24"/>
          <w:highlight w:val="none"/>
        </w:rPr>
        <w:t>1.２工程规模：</w:t>
      </w:r>
      <w:r>
        <w:rPr>
          <w:rFonts w:hint="eastAsia" w:ascii="宋体" w:hAnsi="宋体" w:cs="Arial"/>
          <w:color w:val="auto"/>
          <w:kern w:val="0"/>
          <w:sz w:val="24"/>
          <w:highlight w:val="none"/>
          <w:u w:val="single"/>
        </w:rPr>
        <w:t>见招标公告</w:t>
      </w:r>
      <w:r>
        <w:rPr>
          <w:rFonts w:hint="eastAsia" w:ascii="宋体" w:hAnsi="宋体" w:cs="Arial"/>
          <w:color w:val="auto"/>
          <w:kern w:val="0"/>
          <w:sz w:val="24"/>
          <w:highlight w:val="none"/>
        </w:rPr>
        <w:t>；</w:t>
      </w:r>
    </w:p>
    <w:p w14:paraId="14EE698A">
      <w:pPr>
        <w:widowControl/>
        <w:spacing w:line="435" w:lineRule="exact"/>
        <w:jc w:val="both"/>
        <w:rPr>
          <w:rFonts w:hint="eastAsia" w:ascii="宋体" w:hAnsi="宋体" w:cs="Arial"/>
          <w:color w:val="auto"/>
          <w:kern w:val="0"/>
          <w:sz w:val="24"/>
          <w:highlight w:val="none"/>
        </w:rPr>
      </w:pPr>
      <w:r>
        <w:rPr>
          <w:rFonts w:hint="eastAsia" w:ascii="宋体" w:hAnsi="宋体" w:cs="Arial"/>
          <w:color w:val="auto"/>
          <w:kern w:val="0"/>
          <w:sz w:val="24"/>
          <w:highlight w:val="none"/>
        </w:rPr>
        <w:t>1.3计划工期：</w:t>
      </w:r>
      <w:r>
        <w:rPr>
          <w:rFonts w:hint="eastAsia" w:ascii="宋体" w:hAnsi="宋体" w:cs="Arial"/>
          <w:color w:val="auto"/>
          <w:kern w:val="0"/>
          <w:sz w:val="24"/>
          <w:highlight w:val="none"/>
          <w:u w:val="single"/>
        </w:rPr>
        <w:t>见招标公告，</w:t>
      </w:r>
      <w:r>
        <w:rPr>
          <w:rFonts w:hint="eastAsia" w:ascii="宋体" w:hAnsi="宋体" w:cs="Arial"/>
          <w:color w:val="auto"/>
          <w:kern w:val="0"/>
          <w:sz w:val="24"/>
          <w:highlight w:val="none"/>
        </w:rPr>
        <w:t>计划开工日期：</w:t>
      </w:r>
      <w:r>
        <w:rPr>
          <w:rFonts w:hint="eastAsia" w:ascii="宋体" w:hAnsi="宋体" w:cs="Arial"/>
          <w:color w:val="auto"/>
          <w:kern w:val="0"/>
          <w:sz w:val="24"/>
          <w:highlight w:val="none"/>
          <w:u w:val="single"/>
        </w:rPr>
        <w:t>见招标公告，</w:t>
      </w:r>
      <w:r>
        <w:rPr>
          <w:rFonts w:hint="eastAsia" w:ascii="宋体" w:hAnsi="宋体"/>
          <w:color w:val="auto"/>
          <w:spacing w:val="-10"/>
          <w:sz w:val="24"/>
          <w:highlight w:val="none"/>
        </w:rPr>
        <w:t>具体开工日期，根据每次下达任务实际进度要求为准；如承包人不能在上述工期内完成，则每拖延一天，按中标价的万分之八向发包人支付违约金，无限额</w:t>
      </w:r>
      <w:r>
        <w:rPr>
          <w:rFonts w:hint="eastAsia" w:ascii="宋体" w:hAnsi="宋体"/>
          <w:color w:val="auto"/>
          <w:sz w:val="24"/>
          <w:highlight w:val="none"/>
        </w:rPr>
        <w:t>。</w:t>
      </w:r>
    </w:p>
    <w:p w14:paraId="67D2C557">
      <w:pPr>
        <w:widowControl/>
        <w:spacing w:line="435" w:lineRule="exact"/>
        <w:jc w:val="left"/>
        <w:rPr>
          <w:rFonts w:hint="eastAsia" w:ascii="宋体" w:hAnsi="宋体" w:cs="宋体"/>
          <w:color w:val="auto"/>
          <w:kern w:val="0"/>
          <w:sz w:val="24"/>
          <w:highlight w:val="none"/>
        </w:rPr>
      </w:pPr>
      <w:r>
        <w:rPr>
          <w:rFonts w:hint="eastAsia" w:ascii="宋体" w:hAnsi="宋体" w:cs="Arial"/>
          <w:color w:val="auto"/>
          <w:kern w:val="0"/>
          <w:sz w:val="24"/>
          <w:highlight w:val="none"/>
        </w:rPr>
        <w:t>1.4招标范围：</w:t>
      </w:r>
      <w:r>
        <w:rPr>
          <w:rFonts w:hint="eastAsia" w:ascii="宋体" w:hAnsi="宋体" w:cs="Arial"/>
          <w:color w:val="auto"/>
          <w:kern w:val="0"/>
          <w:sz w:val="24"/>
          <w:highlight w:val="none"/>
          <w:u w:val="single"/>
        </w:rPr>
        <w:t>见招标公告</w:t>
      </w:r>
      <w:r>
        <w:rPr>
          <w:rFonts w:hint="eastAsia" w:ascii="宋体" w:hAnsi="宋体" w:cs="Arial"/>
          <w:color w:val="auto"/>
          <w:kern w:val="0"/>
          <w:sz w:val="24"/>
          <w:highlight w:val="none"/>
        </w:rPr>
        <w:t>；</w:t>
      </w:r>
    </w:p>
    <w:p w14:paraId="2AFEA8C3">
      <w:pPr>
        <w:spacing w:line="435" w:lineRule="exact"/>
        <w:jc w:val="left"/>
        <w:rPr>
          <w:rFonts w:hint="eastAsia" w:ascii="宋体" w:hAnsi="宋体"/>
          <w:color w:val="auto"/>
          <w:sz w:val="24"/>
          <w:highlight w:val="none"/>
        </w:rPr>
      </w:pPr>
      <w:r>
        <w:rPr>
          <w:rFonts w:hint="eastAsia" w:ascii="宋体" w:hAnsi="宋体" w:cs="Arial"/>
          <w:color w:val="auto"/>
          <w:kern w:val="0"/>
          <w:sz w:val="24"/>
          <w:highlight w:val="none"/>
        </w:rPr>
        <w:t>1.5 质量要求：</w:t>
      </w:r>
      <w:r>
        <w:rPr>
          <w:rFonts w:hint="eastAsia" w:ascii="宋体" w:hAnsi="宋体" w:eastAsia="宋体" w:cs="宋体"/>
          <w:color w:val="auto"/>
          <w:kern w:val="0"/>
          <w:sz w:val="24"/>
          <w:szCs w:val="24"/>
          <w:highlight w:val="none"/>
          <w:lang w:eastAsia="zh-CN"/>
        </w:rPr>
        <w:t>一次验收合格。如本工程达不到一次验收合格标准，承包人须维修至合格并按中标价的3%向发包人支付违约金。</w:t>
      </w:r>
    </w:p>
    <w:p w14:paraId="4260C406">
      <w:pPr>
        <w:widowControl/>
        <w:spacing w:line="435" w:lineRule="exact"/>
        <w:jc w:val="left"/>
        <w:rPr>
          <w:rFonts w:hint="eastAsia" w:ascii="宋体" w:hAnsi="宋体" w:cs="Arial"/>
          <w:color w:val="auto"/>
          <w:kern w:val="0"/>
          <w:sz w:val="24"/>
          <w:highlight w:val="none"/>
        </w:rPr>
      </w:pPr>
      <w:r>
        <w:rPr>
          <w:rFonts w:hint="eastAsia" w:ascii="宋体" w:hAnsi="宋体" w:cs="Arial"/>
          <w:color w:val="auto"/>
          <w:kern w:val="0"/>
          <w:sz w:val="24"/>
          <w:highlight w:val="none"/>
        </w:rPr>
        <w:t>1.6标段划分：</w:t>
      </w:r>
      <w:r>
        <w:rPr>
          <w:rFonts w:hint="eastAsia" w:ascii="宋体" w:hAnsi="宋体" w:cs="Arial"/>
          <w:color w:val="auto"/>
          <w:kern w:val="0"/>
          <w:sz w:val="24"/>
          <w:highlight w:val="none"/>
          <w:u w:val="single"/>
        </w:rPr>
        <w:t>本工程共分1个标段</w:t>
      </w:r>
      <w:r>
        <w:rPr>
          <w:rFonts w:hint="eastAsia" w:ascii="宋体" w:hAnsi="宋体" w:cs="Arial"/>
          <w:color w:val="auto"/>
          <w:kern w:val="0"/>
          <w:sz w:val="24"/>
          <w:highlight w:val="none"/>
        </w:rPr>
        <w:t>。</w:t>
      </w:r>
    </w:p>
    <w:p w14:paraId="7CC3A2D0">
      <w:pPr>
        <w:widowControl/>
        <w:spacing w:line="435" w:lineRule="exact"/>
        <w:jc w:val="left"/>
        <w:rPr>
          <w:rFonts w:hint="eastAsia" w:ascii="宋体" w:hAnsi="宋体"/>
          <w:b/>
          <w:color w:val="auto"/>
          <w:sz w:val="24"/>
          <w:highlight w:val="none"/>
        </w:rPr>
      </w:pPr>
      <w:r>
        <w:rPr>
          <w:rFonts w:hint="eastAsia" w:ascii="宋体" w:hAnsi="宋体"/>
          <w:b/>
          <w:color w:val="auto"/>
          <w:sz w:val="24"/>
          <w:highlight w:val="none"/>
        </w:rPr>
        <w:t>2．工程明标总价</w:t>
      </w:r>
    </w:p>
    <w:p w14:paraId="08C6F074">
      <w:pPr>
        <w:widowControl/>
        <w:spacing w:line="435" w:lineRule="exact"/>
        <w:jc w:val="left"/>
        <w:rPr>
          <w:rFonts w:hint="eastAsia" w:ascii="宋体" w:hAnsi="宋体"/>
          <w:color w:val="auto"/>
          <w:sz w:val="24"/>
          <w:highlight w:val="none"/>
        </w:rPr>
      </w:pPr>
      <w:r>
        <w:rPr>
          <w:rFonts w:hint="eastAsia" w:ascii="宋体" w:hAnsi="宋体" w:cs="Arial"/>
          <w:color w:val="auto"/>
          <w:kern w:val="0"/>
          <w:sz w:val="24"/>
          <w:highlight w:val="none"/>
          <w:u w:val="single"/>
        </w:rPr>
        <w:t>见招标公告</w:t>
      </w:r>
      <w:r>
        <w:rPr>
          <w:rFonts w:hint="eastAsia" w:ascii="宋体" w:hAnsi="宋体"/>
          <w:bCs/>
          <w:color w:val="auto"/>
          <w:sz w:val="24"/>
          <w:highlight w:val="none"/>
          <w:u w:val="single"/>
        </w:rPr>
        <w:t>。</w:t>
      </w:r>
    </w:p>
    <w:p w14:paraId="6808CB67">
      <w:pPr>
        <w:widowControl/>
        <w:spacing w:line="435" w:lineRule="exact"/>
        <w:jc w:val="left"/>
        <w:rPr>
          <w:rFonts w:hint="eastAsia" w:ascii="宋体" w:hAnsi="宋体"/>
          <w:b/>
          <w:color w:val="auto"/>
          <w:sz w:val="24"/>
          <w:highlight w:val="none"/>
        </w:rPr>
      </w:pPr>
      <w:r>
        <w:rPr>
          <w:rFonts w:hint="eastAsia" w:ascii="宋体" w:hAnsi="宋体"/>
          <w:b/>
          <w:color w:val="auto"/>
          <w:sz w:val="24"/>
          <w:highlight w:val="none"/>
        </w:rPr>
        <w:t>3．投标人资格要求</w:t>
      </w:r>
    </w:p>
    <w:p w14:paraId="0BB1D757">
      <w:pPr>
        <w:spacing w:line="435" w:lineRule="exact"/>
        <w:jc w:val="left"/>
        <w:rPr>
          <w:rFonts w:hint="eastAsia" w:ascii="宋体" w:hAnsi="宋体"/>
          <w:color w:val="auto"/>
          <w:sz w:val="24"/>
          <w:highlight w:val="none"/>
        </w:rPr>
      </w:pPr>
      <w:r>
        <w:rPr>
          <w:rFonts w:hint="eastAsia" w:ascii="宋体" w:hAnsi="宋体" w:cs="Arial"/>
          <w:color w:val="auto"/>
          <w:kern w:val="0"/>
          <w:sz w:val="24"/>
          <w:highlight w:val="none"/>
          <w:u w:val="single"/>
        </w:rPr>
        <w:t>见招标公告</w:t>
      </w:r>
      <w:r>
        <w:rPr>
          <w:rFonts w:hint="eastAsia" w:ascii="微软雅黑" w:hAnsi="微软雅黑" w:eastAsia="微软雅黑"/>
          <w:color w:val="auto"/>
          <w:highlight w:val="none"/>
        </w:rPr>
        <w:t>。</w:t>
      </w:r>
    </w:p>
    <w:p w14:paraId="5001EE91">
      <w:pPr>
        <w:widowControl/>
        <w:spacing w:line="435" w:lineRule="exact"/>
        <w:jc w:val="left"/>
        <w:rPr>
          <w:rFonts w:hint="eastAsia" w:ascii="宋体" w:hAnsi="宋体" w:cs="Arial"/>
          <w:b/>
          <w:bCs/>
          <w:color w:val="auto"/>
          <w:kern w:val="0"/>
          <w:sz w:val="24"/>
          <w:highlight w:val="none"/>
        </w:rPr>
      </w:pPr>
      <w:r>
        <w:rPr>
          <w:rFonts w:hint="eastAsia" w:ascii="宋体" w:hAnsi="宋体"/>
          <w:b/>
          <w:color w:val="auto"/>
          <w:sz w:val="24"/>
          <w:highlight w:val="none"/>
        </w:rPr>
        <w:t>4．投标费用</w:t>
      </w:r>
    </w:p>
    <w:p w14:paraId="5C41F2F2">
      <w:pPr>
        <w:spacing w:line="435" w:lineRule="exact"/>
        <w:jc w:val="left"/>
        <w:rPr>
          <w:rFonts w:hint="eastAsia" w:ascii="宋体" w:hAnsi="宋体"/>
          <w:color w:val="auto"/>
          <w:sz w:val="24"/>
          <w:highlight w:val="none"/>
        </w:rPr>
      </w:pPr>
      <w:r>
        <w:rPr>
          <w:rFonts w:hint="eastAsia" w:ascii="宋体" w:hAnsi="宋体"/>
          <w:color w:val="auto"/>
          <w:sz w:val="24"/>
          <w:highlight w:val="none"/>
        </w:rPr>
        <w:t>投标人应承担其招标文件准备与递交所涉及的以及参加本招标活动自身所发生的费用，不论中标与否招标人对该费用不负任何责任。</w:t>
      </w:r>
    </w:p>
    <w:p w14:paraId="2BC18244">
      <w:pPr>
        <w:rPr>
          <w:rFonts w:hint="eastAsia"/>
          <w:b/>
          <w:color w:val="auto"/>
          <w:sz w:val="28"/>
          <w:szCs w:val="28"/>
          <w:highlight w:val="none"/>
        </w:rPr>
      </w:pPr>
    </w:p>
    <w:p w14:paraId="48A6198C">
      <w:pPr>
        <w:numPr>
          <w:ilvl w:val="0"/>
          <w:numId w:val="2"/>
        </w:numPr>
        <w:jc w:val="center"/>
        <w:rPr>
          <w:rFonts w:hint="eastAsia" w:ascii="黑体" w:eastAsia="黑体"/>
          <w:color w:val="auto"/>
          <w:sz w:val="28"/>
          <w:szCs w:val="28"/>
          <w:highlight w:val="none"/>
        </w:rPr>
      </w:pPr>
      <w:r>
        <w:rPr>
          <w:rFonts w:hint="eastAsia" w:ascii="黑体" w:eastAsia="黑体"/>
          <w:color w:val="auto"/>
          <w:sz w:val="28"/>
          <w:szCs w:val="28"/>
          <w:highlight w:val="none"/>
        </w:rPr>
        <w:t>开标、定标</w:t>
      </w:r>
    </w:p>
    <w:p w14:paraId="21EF5CA0">
      <w:pPr>
        <w:widowControl/>
        <w:numPr>
          <w:ilvl w:val="0"/>
          <w:numId w:val="4"/>
        </w:numPr>
        <w:spacing w:line="435" w:lineRule="exact"/>
        <w:jc w:val="left"/>
        <w:rPr>
          <w:rFonts w:hint="eastAsia"/>
          <w:b/>
          <w:color w:val="auto"/>
          <w:sz w:val="24"/>
          <w:highlight w:val="none"/>
        </w:rPr>
      </w:pPr>
      <w:r>
        <w:rPr>
          <w:rFonts w:hint="eastAsia"/>
          <w:b/>
          <w:color w:val="auto"/>
          <w:sz w:val="24"/>
          <w:highlight w:val="none"/>
        </w:rPr>
        <w:t>开标时间（投标截止时间）</w:t>
      </w:r>
    </w:p>
    <w:p w14:paraId="732ED834">
      <w:pPr>
        <w:spacing w:line="435" w:lineRule="exact"/>
        <w:jc w:val="left"/>
        <w:rPr>
          <w:rFonts w:hint="eastAsia" w:ascii="宋体" w:hAnsi="宋体"/>
          <w:color w:val="auto"/>
          <w:sz w:val="24"/>
          <w:highlight w:val="none"/>
        </w:rPr>
      </w:pPr>
      <w:r>
        <w:rPr>
          <w:rFonts w:hint="eastAsia" w:ascii="宋体" w:hAnsi="宋体" w:cs="Arial"/>
          <w:color w:val="auto"/>
          <w:kern w:val="0"/>
          <w:sz w:val="24"/>
          <w:highlight w:val="none"/>
          <w:u w:val="single"/>
        </w:rPr>
        <w:t>见招标公告</w:t>
      </w:r>
      <w:r>
        <w:rPr>
          <w:rFonts w:hint="eastAsia" w:ascii="宋体" w:hAnsi="宋体"/>
          <w:color w:val="auto"/>
          <w:sz w:val="24"/>
          <w:highlight w:val="none"/>
          <w:u w:val="single"/>
        </w:rPr>
        <w:t>。</w:t>
      </w:r>
    </w:p>
    <w:p w14:paraId="58407BB9">
      <w:pPr>
        <w:widowControl/>
        <w:spacing w:line="435" w:lineRule="exact"/>
        <w:jc w:val="left"/>
        <w:rPr>
          <w:rFonts w:hint="eastAsia" w:ascii="宋体" w:hAnsi="宋体" w:cs="Arial"/>
          <w:b/>
          <w:bCs/>
          <w:color w:val="auto"/>
          <w:kern w:val="0"/>
          <w:sz w:val="24"/>
          <w:highlight w:val="none"/>
        </w:rPr>
      </w:pPr>
      <w:r>
        <w:rPr>
          <w:rFonts w:hint="eastAsia" w:ascii="宋体" w:hAnsi="宋体" w:cs="Arial"/>
          <w:b/>
          <w:bCs/>
          <w:color w:val="auto"/>
          <w:kern w:val="0"/>
          <w:sz w:val="24"/>
          <w:highlight w:val="none"/>
        </w:rPr>
        <w:t>2．开标地点：</w:t>
      </w:r>
    </w:p>
    <w:p w14:paraId="47387A99">
      <w:pPr>
        <w:spacing w:line="435" w:lineRule="exact"/>
        <w:jc w:val="left"/>
        <w:rPr>
          <w:rFonts w:hint="eastAsia" w:ascii="宋体" w:hAnsi="宋体"/>
          <w:color w:val="auto"/>
          <w:sz w:val="24"/>
          <w:highlight w:val="none"/>
          <w:u w:val="single"/>
        </w:rPr>
      </w:pPr>
      <w:r>
        <w:rPr>
          <w:rFonts w:hint="eastAsia" w:ascii="宋体" w:hAnsi="宋体" w:cs="Arial"/>
          <w:color w:val="auto"/>
          <w:kern w:val="0"/>
          <w:sz w:val="24"/>
          <w:highlight w:val="none"/>
          <w:u w:val="single"/>
        </w:rPr>
        <w:t>见招标公告</w:t>
      </w:r>
      <w:r>
        <w:rPr>
          <w:rFonts w:hint="eastAsia" w:ascii="宋体" w:hAnsi="宋体"/>
          <w:color w:val="auto"/>
          <w:sz w:val="24"/>
          <w:highlight w:val="none"/>
          <w:u w:val="single"/>
        </w:rPr>
        <w:t>。</w:t>
      </w:r>
    </w:p>
    <w:p w14:paraId="7BE3E7FD">
      <w:pPr>
        <w:widowControl/>
        <w:spacing w:line="435" w:lineRule="exact"/>
        <w:jc w:val="left"/>
        <w:rPr>
          <w:rFonts w:hint="eastAsia"/>
          <w:b/>
          <w:color w:val="auto"/>
          <w:sz w:val="24"/>
          <w:highlight w:val="none"/>
        </w:rPr>
      </w:pPr>
      <w:r>
        <w:rPr>
          <w:rFonts w:hint="eastAsia" w:ascii="宋体" w:hAnsi="宋体" w:cs="Arial"/>
          <w:b/>
          <w:bCs/>
          <w:color w:val="auto"/>
          <w:kern w:val="0"/>
          <w:sz w:val="24"/>
          <w:highlight w:val="none"/>
        </w:rPr>
        <w:t>3．</w:t>
      </w:r>
      <w:r>
        <w:rPr>
          <w:rFonts w:hint="eastAsia"/>
          <w:b/>
          <w:color w:val="auto"/>
          <w:sz w:val="24"/>
          <w:highlight w:val="none"/>
        </w:rPr>
        <w:t>其他有关事项：</w:t>
      </w:r>
    </w:p>
    <w:p w14:paraId="2FCA20CB">
      <w:pPr>
        <w:spacing w:line="435" w:lineRule="exact"/>
        <w:jc w:val="left"/>
        <w:rPr>
          <w:rFonts w:hint="eastAsia" w:ascii="宋体" w:hAnsi="宋体"/>
          <w:color w:val="auto"/>
          <w:sz w:val="24"/>
          <w:highlight w:val="none"/>
          <w:u w:val="single"/>
        </w:rPr>
      </w:pPr>
      <w:r>
        <w:rPr>
          <w:rFonts w:hint="eastAsia" w:ascii="宋体" w:hAnsi="宋体" w:cs="Arial"/>
          <w:color w:val="auto"/>
          <w:kern w:val="0"/>
          <w:sz w:val="24"/>
          <w:highlight w:val="none"/>
          <w:u w:val="single"/>
        </w:rPr>
        <w:t>见招标公告</w:t>
      </w:r>
      <w:r>
        <w:rPr>
          <w:rFonts w:hint="eastAsia" w:ascii="宋体" w:hAnsi="宋体"/>
          <w:color w:val="auto"/>
          <w:sz w:val="24"/>
          <w:highlight w:val="none"/>
          <w:u w:val="single"/>
        </w:rPr>
        <w:t>。</w:t>
      </w:r>
    </w:p>
    <w:p w14:paraId="01EE02CB">
      <w:pPr>
        <w:spacing w:line="435" w:lineRule="exact"/>
        <w:jc w:val="left"/>
        <w:rPr>
          <w:rFonts w:hint="eastAsia"/>
          <w:b/>
          <w:color w:val="auto"/>
          <w:sz w:val="24"/>
          <w:highlight w:val="none"/>
        </w:rPr>
      </w:pPr>
      <w:r>
        <w:rPr>
          <w:rFonts w:hint="eastAsia" w:ascii="宋体" w:hAnsi="宋体" w:cs="Arial"/>
          <w:b/>
          <w:bCs/>
          <w:color w:val="auto"/>
          <w:kern w:val="0"/>
          <w:sz w:val="24"/>
          <w:highlight w:val="none"/>
        </w:rPr>
        <w:t>4．</w:t>
      </w:r>
      <w:r>
        <w:rPr>
          <w:rFonts w:hint="eastAsia"/>
          <w:b/>
          <w:color w:val="auto"/>
          <w:sz w:val="24"/>
          <w:highlight w:val="none"/>
        </w:rPr>
        <w:t>开标程序</w:t>
      </w:r>
    </w:p>
    <w:p w14:paraId="563CE76B">
      <w:pPr>
        <w:spacing w:line="435" w:lineRule="exact"/>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（1）开标由招标人或招标代理主持；</w:t>
      </w:r>
    </w:p>
    <w:p w14:paraId="1EB59706">
      <w:pPr>
        <w:spacing w:line="435" w:lineRule="exact"/>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（2）所有到会投标人代表签到，并在开标会议期间关闭所有通讯工具；</w:t>
      </w:r>
    </w:p>
    <w:p w14:paraId="522C6F33">
      <w:pPr>
        <w:spacing w:line="435" w:lineRule="exact"/>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（3）招标人或招标代理当众宣布投标截止前参加投标的所有投标人名单；</w:t>
      </w:r>
    </w:p>
    <w:p w14:paraId="1E802BE4">
      <w:pPr>
        <w:spacing w:line="435" w:lineRule="exact"/>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（4）招标人或招标代理介绍参加开标会议的工作小组成员；</w:t>
      </w:r>
    </w:p>
    <w:p w14:paraId="297CBA01">
      <w:pPr>
        <w:spacing w:line="435" w:lineRule="exact"/>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（5）招标人或招标代理按招标文件的规定对投标人资格及投标人代表的身份进行符合性审查（未按要求提交符合性检查资料的或符合性审查不通过的，均不得进入抽签程序）；</w:t>
      </w:r>
    </w:p>
    <w:p w14:paraId="732D40F9">
      <w:pPr>
        <w:spacing w:line="435" w:lineRule="exact"/>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（6）通过符合性审查的投标人，由投标人代表按签到顺序抽取第一轮代码球；</w:t>
      </w:r>
    </w:p>
    <w:p w14:paraId="586C6F40">
      <w:pPr>
        <w:spacing w:line="435" w:lineRule="exact"/>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（7）投标人代表根据第一轮代码球顺序号进行第二轮中标号的抽取，抽到1、2、3号的企业分别为本项目第一、第二、第三中标候选人；</w:t>
      </w:r>
    </w:p>
    <w:p w14:paraId="27AFA2B5">
      <w:pPr>
        <w:spacing w:line="435" w:lineRule="exact"/>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（8）招标人</w:t>
      </w:r>
      <w:r>
        <w:rPr>
          <w:rFonts w:hint="eastAsia" w:ascii="宋体" w:hAnsi="宋体" w:eastAsia="宋体" w:cs="宋体"/>
          <w:color w:val="auto"/>
          <w:sz w:val="24"/>
          <w:highlight w:val="none"/>
          <w:lang w:eastAsia="zh-CN"/>
        </w:rPr>
        <w:t>、监督人</w:t>
      </w:r>
      <w:r>
        <w:rPr>
          <w:rFonts w:hint="eastAsia" w:ascii="宋体" w:hAnsi="宋体" w:eastAsia="宋体" w:cs="宋体"/>
          <w:color w:val="auto"/>
          <w:sz w:val="24"/>
          <w:highlight w:val="none"/>
        </w:rPr>
        <w:t>、招标代理、投标人签字确认；</w:t>
      </w:r>
    </w:p>
    <w:p w14:paraId="2B4A9828">
      <w:pPr>
        <w:spacing w:line="435" w:lineRule="exact"/>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（9）招标人将第一、第二、第三中标候选人及相关情况录入前洲街道政府网站进行公示，公示期限为3天。</w:t>
      </w:r>
    </w:p>
    <w:p w14:paraId="04BEAD5B">
      <w:pPr>
        <w:spacing w:line="435" w:lineRule="exact"/>
        <w:jc w:val="left"/>
        <w:rPr>
          <w:rFonts w:hint="eastAsia"/>
          <w:b/>
          <w:color w:val="auto"/>
          <w:sz w:val="24"/>
          <w:highlight w:val="none"/>
        </w:rPr>
      </w:pPr>
      <w:r>
        <w:rPr>
          <w:rFonts w:hint="eastAsia" w:ascii="宋体" w:hAnsi="宋体" w:cs="Arial"/>
          <w:b/>
          <w:bCs/>
          <w:color w:val="auto"/>
          <w:kern w:val="0"/>
          <w:sz w:val="24"/>
          <w:highlight w:val="none"/>
        </w:rPr>
        <w:t>5．</w:t>
      </w:r>
      <w:r>
        <w:rPr>
          <w:rFonts w:hint="eastAsia"/>
          <w:b/>
          <w:color w:val="auto"/>
          <w:sz w:val="24"/>
          <w:highlight w:val="none"/>
        </w:rPr>
        <w:t>符合性检查：</w:t>
      </w:r>
    </w:p>
    <w:p w14:paraId="038A22AC">
      <w:pPr>
        <w:spacing w:line="435" w:lineRule="exact"/>
        <w:jc w:val="both"/>
        <w:rPr>
          <w:rFonts w:hint="eastAsia" w:ascii="宋体" w:hAnsi="宋体"/>
          <w:color w:val="auto"/>
          <w:sz w:val="24"/>
          <w:highlight w:val="none"/>
        </w:rPr>
      </w:pPr>
      <w:r>
        <w:rPr>
          <w:rFonts w:ascii="宋体" w:hAnsi="宋体" w:cs="宋体"/>
          <w:color w:val="auto"/>
          <w:sz w:val="24"/>
          <w:highlight w:val="none"/>
        </w:rPr>
        <w:t>投标人应</w:t>
      </w:r>
      <w:r>
        <w:rPr>
          <w:rFonts w:hint="eastAsia" w:ascii="宋体" w:hAnsi="宋体" w:cs="宋体"/>
          <w:color w:val="auto"/>
          <w:sz w:val="24"/>
          <w:highlight w:val="none"/>
          <w:lang w:val="en-US" w:eastAsia="zh-CN"/>
        </w:rPr>
        <w:t>携带</w:t>
      </w:r>
      <w:r>
        <w:rPr>
          <w:rFonts w:ascii="宋体" w:hAnsi="宋体" w:cs="宋体"/>
          <w:color w:val="auto"/>
          <w:sz w:val="24"/>
          <w:highlight w:val="none"/>
        </w:rPr>
        <w:t>授权代理人的身份证原件</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将</w:t>
      </w:r>
      <w:r>
        <w:rPr>
          <w:rFonts w:hint="eastAsia" w:ascii="宋体" w:hAnsi="宋体" w:cs="宋体"/>
          <w:color w:val="auto"/>
          <w:sz w:val="24"/>
          <w:highlight w:val="none"/>
        </w:rPr>
        <w:t>授权委托书、投标（明标明投）承诺书、</w:t>
      </w:r>
      <w:r>
        <w:rPr>
          <w:rFonts w:hint="eastAsia" w:ascii="宋体" w:hAnsi="宋体" w:cs="宋体"/>
          <w:color w:val="auto"/>
          <w:sz w:val="24"/>
          <w:highlight w:val="none"/>
          <w:lang w:val="en-US" w:eastAsia="zh-CN"/>
        </w:rPr>
        <w:t>被</w:t>
      </w:r>
      <w:r>
        <w:rPr>
          <w:rFonts w:hint="eastAsia" w:ascii="宋体" w:hAnsi="宋体" w:cs="宋体"/>
          <w:color w:val="auto"/>
          <w:sz w:val="24"/>
          <w:highlight w:val="none"/>
        </w:rPr>
        <w:t>授权委托人及项目</w:t>
      </w:r>
      <w:r>
        <w:rPr>
          <w:rFonts w:hint="eastAsia" w:ascii="宋体" w:hAnsi="宋体" w:cs="宋体"/>
          <w:color w:val="auto"/>
          <w:sz w:val="24"/>
          <w:highlight w:val="none"/>
          <w:lang w:val="en-US" w:eastAsia="zh-CN"/>
        </w:rPr>
        <w:t>负责人</w:t>
      </w:r>
      <w:r>
        <w:rPr>
          <w:rFonts w:hint="eastAsia" w:ascii="宋体" w:hAnsi="宋体" w:cs="宋体"/>
          <w:color w:val="auto"/>
          <w:sz w:val="24"/>
          <w:highlight w:val="none"/>
        </w:rPr>
        <w:t>由法定的社保收缴部门出具的投标单位依法缴纳社会保障资金的相关材料（</w:t>
      </w:r>
      <w:r>
        <w:rPr>
          <w:rFonts w:hint="eastAsia" w:ascii="宋体" w:hAnsi="宋体" w:cs="宋体"/>
          <w:color w:val="auto"/>
          <w:sz w:val="24"/>
          <w:highlight w:val="none"/>
          <w:lang w:eastAsia="zh-CN"/>
        </w:rPr>
        <w:t>2026年4月-2026年6月</w:t>
      </w:r>
      <w:r>
        <w:rPr>
          <w:rFonts w:hint="eastAsia" w:ascii="宋体" w:hAnsi="宋体" w:cs="宋体"/>
          <w:color w:val="auto"/>
          <w:sz w:val="24"/>
          <w:highlight w:val="none"/>
        </w:rPr>
        <w:t>）、企业营业执照、资质证书以及安全生产许可证（复印件加盖公章）、项目</w:t>
      </w:r>
      <w:r>
        <w:rPr>
          <w:rFonts w:hint="eastAsia" w:ascii="宋体" w:hAnsi="宋体" w:cs="宋体"/>
          <w:color w:val="auto"/>
          <w:sz w:val="24"/>
          <w:highlight w:val="none"/>
          <w:lang w:eastAsia="zh-CN"/>
        </w:rPr>
        <w:t>负责人</w:t>
      </w:r>
      <w:r>
        <w:rPr>
          <w:rFonts w:hint="eastAsia" w:ascii="宋体" w:hAnsi="宋体" w:cs="宋体"/>
          <w:color w:val="auto"/>
          <w:sz w:val="24"/>
          <w:highlight w:val="none"/>
          <w:lang w:val="en-US" w:eastAsia="zh-CN"/>
        </w:rPr>
        <w:t>注册建造师证书</w:t>
      </w:r>
      <w:r>
        <w:rPr>
          <w:rFonts w:hint="eastAsia" w:ascii="宋体" w:hAnsi="宋体" w:cs="宋体"/>
          <w:color w:val="auto"/>
          <w:sz w:val="24"/>
          <w:highlight w:val="none"/>
        </w:rPr>
        <w:t>及</w:t>
      </w:r>
      <w:r>
        <w:rPr>
          <w:rFonts w:hint="eastAsia" w:ascii="宋体" w:hAnsi="宋体" w:cs="宋体"/>
          <w:color w:val="auto"/>
          <w:sz w:val="24"/>
          <w:highlight w:val="none"/>
          <w:lang w:val="en-US" w:eastAsia="zh-CN"/>
        </w:rPr>
        <w:t>《建筑施工企业项目负责人安全生产知识考核合格证书》（B证）</w:t>
      </w:r>
      <w:r>
        <w:rPr>
          <w:rFonts w:hint="eastAsia" w:ascii="宋体" w:hAnsi="宋体" w:cs="宋体"/>
          <w:color w:val="auto"/>
          <w:sz w:val="24"/>
          <w:highlight w:val="none"/>
        </w:rPr>
        <w:t>（复印件加盖公章）</w:t>
      </w:r>
      <w:r>
        <w:rPr>
          <w:rFonts w:ascii="宋体" w:hAnsi="宋体" w:cs="宋体"/>
          <w:color w:val="auto"/>
          <w:sz w:val="24"/>
          <w:highlight w:val="none"/>
        </w:rPr>
        <w:t>装入一个封袋中一起提交。</w:t>
      </w:r>
      <w:r>
        <w:rPr>
          <w:rFonts w:hint="eastAsia" w:ascii="宋体" w:hAnsi="宋体" w:eastAsia="宋体" w:cs="宋体"/>
          <w:color w:val="auto"/>
          <w:sz w:val="24"/>
          <w:highlight w:val="none"/>
        </w:rPr>
        <w:t>（未按要求提交符合性检查资料的或符合性审查不通过的，均不得进入抽签程序）</w:t>
      </w:r>
    </w:p>
    <w:p w14:paraId="042C3C6F">
      <w:pPr>
        <w:spacing w:line="435" w:lineRule="exact"/>
        <w:jc w:val="left"/>
        <w:rPr>
          <w:rFonts w:hint="eastAsia"/>
          <w:b/>
          <w:color w:val="auto"/>
          <w:sz w:val="24"/>
          <w:highlight w:val="none"/>
        </w:rPr>
      </w:pPr>
      <w:r>
        <w:rPr>
          <w:rFonts w:hint="eastAsia" w:ascii="宋体" w:hAnsi="宋体" w:cs="Arial"/>
          <w:b/>
          <w:bCs/>
          <w:color w:val="auto"/>
          <w:kern w:val="0"/>
          <w:sz w:val="24"/>
          <w:highlight w:val="none"/>
        </w:rPr>
        <w:t>6．</w:t>
      </w:r>
      <w:r>
        <w:rPr>
          <w:rFonts w:hint="eastAsia"/>
          <w:b/>
          <w:color w:val="auto"/>
          <w:sz w:val="24"/>
          <w:highlight w:val="none"/>
        </w:rPr>
        <w:t>定标：</w:t>
      </w:r>
    </w:p>
    <w:p w14:paraId="172F9458">
      <w:pPr>
        <w:spacing w:line="435" w:lineRule="exact"/>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1）公示结束后，第一候选人在3个工作日内编制完成项目的施工组织设计（或施工方案或实施方案）（一式三份），交由项目主管部门审核。逾期未提交，则作自动放弃中标处理，由第二候选人替补，以此类推。</w:t>
      </w:r>
      <w:r>
        <w:rPr>
          <w:rFonts w:hint="eastAsia" w:ascii="宋体" w:hAnsi="宋体"/>
          <w:color w:val="auto"/>
          <w:sz w:val="24"/>
          <w:highlight w:val="none"/>
        </w:rPr>
        <w:t>中标候选人如逾期未提交项目施工组织设计（或施工方案或实施方案），视作无正当理由放弃中标，将作退出当期企业名录库处理。</w:t>
      </w:r>
    </w:p>
    <w:p w14:paraId="624BD396">
      <w:pPr>
        <w:spacing w:line="435" w:lineRule="exact"/>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2）项目主管部门在3个工作日内完成对中标候选人的施工组织设计（或施工方案或实施方案）审核工作（逾期认定为认可）。通过的，向候选人发出中标通知书。未通过的，则告知未通过原因，并通知下一候选人替补。</w:t>
      </w:r>
    </w:p>
    <w:p w14:paraId="5FFD74FE">
      <w:pPr>
        <w:spacing w:line="435" w:lineRule="exact"/>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（3）招标人在30天内与确定的中标单位签订合同。</w:t>
      </w:r>
    </w:p>
    <w:p w14:paraId="25163062">
      <w:pPr>
        <w:rPr>
          <w:rFonts w:hint="eastAsia"/>
          <w:b/>
          <w:color w:val="auto"/>
          <w:sz w:val="28"/>
          <w:szCs w:val="28"/>
          <w:highlight w:val="none"/>
        </w:rPr>
      </w:pPr>
    </w:p>
    <w:p w14:paraId="7013A0D7">
      <w:pPr>
        <w:rPr>
          <w:rFonts w:hint="eastAsia"/>
          <w:b/>
          <w:color w:val="auto"/>
          <w:sz w:val="28"/>
          <w:szCs w:val="28"/>
          <w:highlight w:val="none"/>
        </w:rPr>
      </w:pPr>
    </w:p>
    <w:p w14:paraId="4C064622">
      <w:pPr>
        <w:rPr>
          <w:b/>
          <w:color w:val="auto"/>
          <w:sz w:val="28"/>
          <w:szCs w:val="28"/>
          <w:highlight w:val="none"/>
        </w:rPr>
      </w:pPr>
    </w:p>
    <w:p w14:paraId="55E49F38">
      <w:pPr>
        <w:rPr>
          <w:b/>
          <w:color w:val="auto"/>
          <w:sz w:val="28"/>
          <w:szCs w:val="28"/>
          <w:highlight w:val="none"/>
        </w:rPr>
      </w:pPr>
    </w:p>
    <w:p w14:paraId="1D0747F8">
      <w:pPr>
        <w:rPr>
          <w:b/>
          <w:color w:val="auto"/>
          <w:sz w:val="28"/>
          <w:szCs w:val="28"/>
          <w:highlight w:val="none"/>
        </w:rPr>
      </w:pPr>
    </w:p>
    <w:p w14:paraId="4684271C">
      <w:pPr>
        <w:pStyle w:val="12"/>
        <w:rPr>
          <w:color w:val="auto"/>
          <w:highlight w:val="none"/>
        </w:rPr>
      </w:pPr>
    </w:p>
    <w:p w14:paraId="73488BB8">
      <w:pPr>
        <w:numPr>
          <w:ilvl w:val="0"/>
          <w:numId w:val="0"/>
        </w:numPr>
        <w:jc w:val="center"/>
        <w:rPr>
          <w:rFonts w:hint="eastAsia" w:ascii="黑体" w:eastAsia="黑体"/>
          <w:b/>
          <w:color w:val="auto"/>
          <w:sz w:val="28"/>
          <w:szCs w:val="28"/>
          <w:highlight w:val="none"/>
          <w:lang w:val="en-US" w:eastAsia="zh-CN"/>
        </w:rPr>
      </w:pPr>
    </w:p>
    <w:p w14:paraId="33F9BBA6">
      <w:pPr>
        <w:numPr>
          <w:ilvl w:val="0"/>
          <w:numId w:val="0"/>
        </w:numPr>
        <w:jc w:val="center"/>
        <w:rPr>
          <w:rFonts w:hint="eastAsia"/>
          <w:color w:val="auto"/>
          <w:highlight w:val="none"/>
        </w:rPr>
      </w:pPr>
      <w:r>
        <w:rPr>
          <w:rFonts w:hint="eastAsia" w:ascii="黑体" w:eastAsia="黑体"/>
          <w:b/>
          <w:color w:val="auto"/>
          <w:sz w:val="28"/>
          <w:szCs w:val="28"/>
          <w:highlight w:val="none"/>
          <w:lang w:val="en-US" w:eastAsia="zh-CN"/>
        </w:rPr>
        <w:t>三、</w:t>
      </w:r>
      <w:r>
        <w:rPr>
          <w:rFonts w:hint="eastAsia" w:ascii="黑体" w:eastAsia="黑体"/>
          <w:b/>
          <w:color w:val="auto"/>
          <w:sz w:val="28"/>
          <w:szCs w:val="28"/>
          <w:highlight w:val="none"/>
        </w:rPr>
        <w:t>合同条款及其附件</w:t>
      </w:r>
    </w:p>
    <w:p w14:paraId="43BCD927">
      <w:pPr>
        <w:widowControl/>
        <w:jc w:val="center"/>
        <w:outlineLvl w:val="0"/>
        <w:rPr>
          <w:rFonts w:ascii="宋体" w:hAnsi="宋体"/>
          <w:b/>
          <w:bCs/>
          <w:color w:val="auto"/>
          <w:kern w:val="0"/>
          <w:sz w:val="48"/>
          <w:highlight w:val="none"/>
        </w:rPr>
      </w:pPr>
    </w:p>
    <w:p w14:paraId="69161B23">
      <w:pPr>
        <w:widowControl/>
        <w:jc w:val="center"/>
        <w:outlineLvl w:val="0"/>
        <w:rPr>
          <w:rFonts w:ascii="宋体" w:hAnsi="宋体"/>
          <w:b/>
          <w:bCs/>
          <w:color w:val="auto"/>
          <w:kern w:val="0"/>
          <w:sz w:val="48"/>
          <w:highlight w:val="none"/>
        </w:rPr>
      </w:pPr>
      <w:bookmarkStart w:id="1" w:name="_Toc38746984"/>
      <w:r>
        <w:rPr>
          <w:rFonts w:hint="eastAsia" w:ascii="宋体" w:hAnsi="宋体"/>
          <w:b/>
          <w:bCs/>
          <w:color w:val="auto"/>
          <w:kern w:val="0"/>
          <w:sz w:val="48"/>
          <w:highlight w:val="none"/>
        </w:rPr>
        <w:t>建  筑  工  程  施  工  合  同</w:t>
      </w:r>
      <w:bookmarkEnd w:id="1"/>
    </w:p>
    <w:p w14:paraId="06B384FF">
      <w:pPr>
        <w:widowControl/>
        <w:jc w:val="center"/>
        <w:outlineLvl w:val="0"/>
        <w:rPr>
          <w:rFonts w:ascii="宋体" w:hAnsi="宋体"/>
          <w:b/>
          <w:bCs/>
          <w:color w:val="auto"/>
          <w:kern w:val="0"/>
          <w:sz w:val="48"/>
          <w:highlight w:val="none"/>
        </w:rPr>
      </w:pPr>
    </w:p>
    <w:p w14:paraId="213933B1">
      <w:pPr>
        <w:widowControl/>
        <w:jc w:val="left"/>
        <w:outlineLvl w:val="0"/>
        <w:rPr>
          <w:rFonts w:ascii="宋体" w:hAnsi="宋体"/>
          <w:b/>
          <w:bCs/>
          <w:color w:val="auto"/>
          <w:kern w:val="0"/>
          <w:sz w:val="48"/>
          <w:highlight w:val="none"/>
        </w:rPr>
      </w:pPr>
    </w:p>
    <w:p w14:paraId="06E71A9E">
      <w:pPr>
        <w:widowControl/>
        <w:jc w:val="left"/>
        <w:outlineLvl w:val="0"/>
        <w:rPr>
          <w:rFonts w:ascii="宋体" w:hAnsi="宋体"/>
          <w:b/>
          <w:bCs/>
          <w:color w:val="auto"/>
          <w:kern w:val="0"/>
          <w:sz w:val="48"/>
          <w:highlight w:val="none"/>
        </w:rPr>
      </w:pPr>
    </w:p>
    <w:p w14:paraId="16E91D7F">
      <w:pPr>
        <w:widowControl/>
        <w:jc w:val="left"/>
        <w:outlineLvl w:val="0"/>
        <w:rPr>
          <w:rFonts w:ascii="宋体" w:hAnsi="宋体"/>
          <w:b/>
          <w:bCs/>
          <w:color w:val="auto"/>
          <w:kern w:val="0"/>
          <w:sz w:val="48"/>
          <w:highlight w:val="none"/>
        </w:rPr>
      </w:pPr>
    </w:p>
    <w:p w14:paraId="6B0E96C6">
      <w:pPr>
        <w:widowControl/>
        <w:jc w:val="left"/>
        <w:outlineLvl w:val="0"/>
        <w:rPr>
          <w:rFonts w:hint="eastAsia" w:ascii="宋体" w:hAnsi="宋体"/>
          <w:b/>
          <w:bCs/>
          <w:color w:val="auto"/>
          <w:kern w:val="0"/>
          <w:sz w:val="44"/>
          <w:highlight w:val="none"/>
        </w:rPr>
      </w:pPr>
    </w:p>
    <w:p w14:paraId="38CF4826">
      <w:pPr>
        <w:widowControl/>
        <w:jc w:val="center"/>
        <w:outlineLvl w:val="0"/>
        <w:rPr>
          <w:rFonts w:ascii="宋体" w:hAnsi="宋体"/>
          <w:b/>
          <w:bCs/>
          <w:color w:val="auto"/>
          <w:kern w:val="0"/>
          <w:sz w:val="44"/>
          <w:highlight w:val="none"/>
        </w:rPr>
      </w:pPr>
      <w:bookmarkStart w:id="2" w:name="_Toc38746985"/>
      <w:r>
        <w:rPr>
          <w:rFonts w:hint="eastAsia" w:ascii="宋体" w:hAnsi="宋体"/>
          <w:b/>
          <w:bCs/>
          <w:color w:val="auto"/>
          <w:kern w:val="0"/>
          <w:sz w:val="44"/>
          <w:highlight w:val="none"/>
        </w:rPr>
        <w:t>GF-2017-0201</w:t>
      </w:r>
      <w:bookmarkEnd w:id="2"/>
    </w:p>
    <w:p w14:paraId="3B3300E8">
      <w:pPr>
        <w:widowControl/>
        <w:jc w:val="center"/>
        <w:outlineLvl w:val="0"/>
        <w:rPr>
          <w:rFonts w:ascii="宋体" w:hAnsi="宋体"/>
          <w:b/>
          <w:bCs/>
          <w:color w:val="auto"/>
          <w:kern w:val="0"/>
          <w:sz w:val="44"/>
          <w:highlight w:val="none"/>
        </w:rPr>
      </w:pPr>
    </w:p>
    <w:p w14:paraId="173AC781">
      <w:pPr>
        <w:widowControl/>
        <w:jc w:val="center"/>
        <w:outlineLvl w:val="0"/>
        <w:rPr>
          <w:rFonts w:ascii="宋体" w:hAnsi="宋体"/>
          <w:b/>
          <w:bCs/>
          <w:color w:val="auto"/>
          <w:kern w:val="0"/>
          <w:sz w:val="44"/>
          <w:highlight w:val="none"/>
        </w:rPr>
      </w:pPr>
    </w:p>
    <w:p w14:paraId="3A282A11">
      <w:pPr>
        <w:widowControl/>
        <w:jc w:val="center"/>
        <w:outlineLvl w:val="0"/>
        <w:rPr>
          <w:rFonts w:ascii="宋体" w:hAnsi="宋体"/>
          <w:b/>
          <w:bCs/>
          <w:color w:val="auto"/>
          <w:kern w:val="0"/>
          <w:sz w:val="44"/>
          <w:highlight w:val="none"/>
        </w:rPr>
      </w:pPr>
    </w:p>
    <w:p w14:paraId="7A07A3A3">
      <w:pPr>
        <w:widowControl/>
        <w:jc w:val="center"/>
        <w:outlineLvl w:val="0"/>
        <w:rPr>
          <w:rFonts w:hint="eastAsia" w:ascii="宋体" w:hAnsi="宋体" w:eastAsia="宋体"/>
          <w:b/>
          <w:bCs/>
          <w:color w:val="auto"/>
          <w:kern w:val="0"/>
          <w:sz w:val="28"/>
          <w:szCs w:val="28"/>
          <w:highlight w:val="none"/>
          <w:u w:val="single"/>
          <w:lang w:eastAsia="zh-CN"/>
        </w:rPr>
      </w:pPr>
      <w:r>
        <w:rPr>
          <w:rFonts w:hint="eastAsia" w:ascii="宋体" w:hAnsi="宋体"/>
          <w:b/>
          <w:bCs/>
          <w:color w:val="auto"/>
          <w:kern w:val="0"/>
          <w:sz w:val="28"/>
          <w:szCs w:val="28"/>
          <w:highlight w:val="none"/>
        </w:rPr>
        <w:t>工程名称：</w:t>
      </w:r>
      <w:r>
        <w:rPr>
          <w:rFonts w:hint="eastAsia" w:ascii="宋体" w:hAnsi="宋体"/>
          <w:b/>
          <w:bCs/>
          <w:color w:val="auto"/>
          <w:kern w:val="0"/>
          <w:sz w:val="28"/>
          <w:szCs w:val="28"/>
          <w:highlight w:val="none"/>
          <w:u w:val="single"/>
          <w:lang w:eastAsia="zh-CN" w:bidi="en-US"/>
        </w:rPr>
        <w:t>2026年第二批次城市更新提优市政修复零星工程</w:t>
      </w:r>
    </w:p>
    <w:p w14:paraId="2E97B05C">
      <w:pPr>
        <w:widowControl/>
        <w:jc w:val="center"/>
        <w:outlineLvl w:val="0"/>
        <w:rPr>
          <w:rFonts w:ascii="宋体" w:hAnsi="宋体"/>
          <w:b/>
          <w:bCs/>
          <w:color w:val="auto"/>
          <w:kern w:val="0"/>
          <w:sz w:val="44"/>
          <w:highlight w:val="none"/>
        </w:rPr>
      </w:pPr>
    </w:p>
    <w:p w14:paraId="78985403">
      <w:pPr>
        <w:widowControl/>
        <w:jc w:val="center"/>
        <w:outlineLvl w:val="0"/>
        <w:rPr>
          <w:rFonts w:ascii="宋体" w:hAnsi="宋体"/>
          <w:b/>
          <w:bCs/>
          <w:color w:val="auto"/>
          <w:kern w:val="0"/>
          <w:sz w:val="44"/>
          <w:highlight w:val="none"/>
        </w:rPr>
      </w:pPr>
    </w:p>
    <w:p w14:paraId="73BB090D">
      <w:pPr>
        <w:widowControl/>
        <w:jc w:val="left"/>
        <w:outlineLvl w:val="0"/>
        <w:rPr>
          <w:rFonts w:ascii="宋体" w:hAnsi="宋体"/>
          <w:b/>
          <w:bCs/>
          <w:color w:val="auto"/>
          <w:kern w:val="0"/>
          <w:sz w:val="44"/>
          <w:highlight w:val="none"/>
        </w:rPr>
      </w:pPr>
    </w:p>
    <w:p w14:paraId="40B359DE">
      <w:pPr>
        <w:pStyle w:val="12"/>
        <w:rPr>
          <w:color w:val="auto"/>
          <w:highlight w:val="none"/>
        </w:rPr>
      </w:pPr>
    </w:p>
    <w:p w14:paraId="6F6208B9">
      <w:pPr>
        <w:pStyle w:val="12"/>
        <w:rPr>
          <w:color w:val="auto"/>
          <w:highlight w:val="none"/>
        </w:rPr>
      </w:pPr>
    </w:p>
    <w:p w14:paraId="40F11ED6">
      <w:pPr>
        <w:widowControl/>
        <w:jc w:val="center"/>
        <w:outlineLvl w:val="0"/>
        <w:rPr>
          <w:rFonts w:ascii="宋体" w:hAnsi="宋体"/>
          <w:b/>
          <w:bCs/>
          <w:color w:val="auto"/>
          <w:kern w:val="0"/>
          <w:sz w:val="44"/>
          <w:highlight w:val="none"/>
        </w:rPr>
      </w:pPr>
    </w:p>
    <w:p w14:paraId="74925032">
      <w:pPr>
        <w:pStyle w:val="12"/>
        <w:rPr>
          <w:rFonts w:hint="eastAsia"/>
          <w:color w:val="auto"/>
          <w:highlight w:val="none"/>
        </w:rPr>
      </w:pPr>
    </w:p>
    <w:p w14:paraId="645EAC1D">
      <w:pPr>
        <w:widowControl/>
        <w:jc w:val="center"/>
        <w:outlineLvl w:val="0"/>
        <w:rPr>
          <w:rFonts w:ascii="宋体" w:hAnsi="宋体"/>
          <w:b/>
          <w:bCs/>
          <w:color w:val="auto"/>
          <w:kern w:val="0"/>
          <w:sz w:val="36"/>
          <w:highlight w:val="none"/>
        </w:rPr>
      </w:pPr>
      <w:bookmarkStart w:id="3" w:name="_Toc38746986"/>
      <w:r>
        <w:rPr>
          <w:rFonts w:hint="eastAsia" w:ascii="宋体" w:hAnsi="宋体"/>
          <w:b/>
          <w:bCs/>
          <w:color w:val="auto"/>
          <w:kern w:val="0"/>
          <w:sz w:val="36"/>
          <w:highlight w:val="none"/>
        </w:rPr>
        <w:t>江苏省建设委员会</w:t>
      </w:r>
      <w:bookmarkEnd w:id="3"/>
    </w:p>
    <w:p w14:paraId="3FCE4E9D">
      <w:pPr>
        <w:widowControl/>
        <w:jc w:val="center"/>
        <w:outlineLvl w:val="0"/>
        <w:rPr>
          <w:rFonts w:ascii="宋体" w:hAnsi="宋体"/>
          <w:b/>
          <w:bCs/>
          <w:color w:val="auto"/>
          <w:kern w:val="0"/>
          <w:sz w:val="36"/>
          <w:highlight w:val="none"/>
        </w:rPr>
      </w:pPr>
    </w:p>
    <w:p w14:paraId="76505811">
      <w:pPr>
        <w:widowControl/>
        <w:jc w:val="center"/>
        <w:outlineLvl w:val="0"/>
        <w:rPr>
          <w:rFonts w:ascii="宋体" w:hAnsi="宋体"/>
          <w:b/>
          <w:bCs/>
          <w:color w:val="auto"/>
          <w:kern w:val="0"/>
          <w:sz w:val="36"/>
          <w:highlight w:val="none"/>
        </w:rPr>
      </w:pPr>
      <w:bookmarkStart w:id="4" w:name="_Toc38746987"/>
      <w:r>
        <w:rPr>
          <w:rFonts w:hint="eastAsia" w:ascii="宋体" w:hAnsi="宋体"/>
          <w:b/>
          <w:bCs/>
          <w:color w:val="auto"/>
          <w:kern w:val="0"/>
          <w:sz w:val="36"/>
          <w:highlight w:val="none"/>
        </w:rPr>
        <w:t>江苏省工商行政管理局监制</w:t>
      </w:r>
      <w:bookmarkEnd w:id="4"/>
    </w:p>
    <w:p w14:paraId="39FFE3B9">
      <w:pPr>
        <w:widowControl/>
        <w:spacing w:line="360" w:lineRule="auto"/>
        <w:ind w:firstLine="499"/>
        <w:jc w:val="left"/>
        <w:outlineLvl w:val="0"/>
        <w:rPr>
          <w:rFonts w:ascii="宋体" w:hAnsi="宋体"/>
          <w:color w:val="auto"/>
          <w:kern w:val="0"/>
          <w:sz w:val="30"/>
          <w:szCs w:val="30"/>
          <w:highlight w:val="none"/>
        </w:rPr>
        <w:sectPr>
          <w:headerReference r:id="rId7" w:type="first"/>
          <w:footerReference r:id="rId9" w:type="first"/>
          <w:headerReference r:id="rId6" w:type="default"/>
          <w:footerReference r:id="rId8" w:type="default"/>
          <w:pgSz w:w="11906" w:h="16838"/>
          <w:pgMar w:top="1304" w:right="1304" w:bottom="1304" w:left="1304" w:header="964" w:footer="1020" w:gutter="0"/>
          <w:pgNumType w:fmt="decimal" w:start="1"/>
          <w:cols w:space="720" w:num="1"/>
          <w:docGrid w:type="lines" w:linePitch="312" w:charSpace="0"/>
        </w:sectPr>
      </w:pPr>
    </w:p>
    <w:p w14:paraId="33DDFDBE">
      <w:pPr>
        <w:keepNext/>
        <w:keepLines/>
        <w:spacing w:line="360" w:lineRule="auto"/>
        <w:jc w:val="center"/>
        <w:outlineLvl w:val="0"/>
        <w:rPr>
          <w:rFonts w:ascii="宋体" w:hAnsi="宋体"/>
          <w:bCs/>
          <w:color w:val="auto"/>
          <w:sz w:val="32"/>
          <w:szCs w:val="44"/>
          <w:highlight w:val="none"/>
          <w:lang w:val="zh-CN"/>
        </w:rPr>
      </w:pPr>
      <w:bookmarkStart w:id="5" w:name="_Toc498006744"/>
      <w:bookmarkStart w:id="6" w:name="_Toc38746988"/>
      <w:r>
        <w:rPr>
          <w:rFonts w:hint="eastAsia" w:ascii="宋体" w:hAnsi="宋体"/>
          <w:b/>
          <w:bCs/>
          <w:color w:val="auto"/>
          <w:sz w:val="32"/>
          <w:szCs w:val="44"/>
          <w:highlight w:val="none"/>
          <w:lang w:val="zh-CN"/>
        </w:rPr>
        <w:t>第一部分 合同协议书</w:t>
      </w:r>
      <w:bookmarkEnd w:id="5"/>
      <w:bookmarkEnd w:id="6"/>
    </w:p>
    <w:p w14:paraId="36921789">
      <w:pPr>
        <w:pageBreakBefore w:val="0"/>
        <w:kinsoku/>
        <w:wordWrap/>
        <w:overflowPunct/>
        <w:topLinePunct w:val="0"/>
        <w:bidi w:val="0"/>
        <w:adjustRightInd w:val="0"/>
        <w:snapToGrid w:val="0"/>
        <w:spacing w:line="360" w:lineRule="auto"/>
        <w:ind w:firstLine="482" w:firstLineChars="200"/>
        <w:textAlignment w:val="auto"/>
        <w:outlineLvl w:val="0"/>
        <w:rPr>
          <w:rFonts w:hint="eastAsia" w:ascii="宋体" w:hAnsi="宋体" w:eastAsia="宋体" w:cs="宋体"/>
          <w:b/>
          <w:color w:val="auto"/>
          <w:sz w:val="24"/>
          <w:highlight w:val="none"/>
          <w:u w:val="single"/>
          <w:lang w:eastAsia="zh-CN"/>
        </w:rPr>
      </w:pPr>
      <w:bookmarkStart w:id="7" w:name="_Toc38746989"/>
      <w:r>
        <w:rPr>
          <w:rFonts w:hint="eastAsia" w:ascii="宋体" w:hAnsi="宋体" w:cs="宋体"/>
          <w:b/>
          <w:color w:val="auto"/>
          <w:sz w:val="24"/>
          <w:highlight w:val="none"/>
        </w:rPr>
        <w:t>发包人（全称）：</w:t>
      </w:r>
      <w:bookmarkEnd w:id="7"/>
      <w:r>
        <w:rPr>
          <w:rFonts w:hint="eastAsia" w:ascii="宋体" w:hAnsi="宋体" w:cs="宋体"/>
          <w:b/>
          <w:color w:val="auto"/>
          <w:sz w:val="24"/>
          <w:highlight w:val="none"/>
          <w:u w:val="single"/>
          <w:lang w:eastAsia="zh-CN"/>
        </w:rPr>
        <w:t>无锡前丰农业有限公司</w:t>
      </w:r>
    </w:p>
    <w:p w14:paraId="3B99E501">
      <w:pPr>
        <w:pageBreakBefore w:val="0"/>
        <w:kinsoku/>
        <w:wordWrap/>
        <w:overflowPunct/>
        <w:topLinePunct w:val="0"/>
        <w:bidi w:val="0"/>
        <w:adjustRightInd w:val="0"/>
        <w:snapToGrid w:val="0"/>
        <w:spacing w:line="360" w:lineRule="auto"/>
        <w:ind w:firstLine="482" w:firstLineChars="200"/>
        <w:textAlignment w:val="auto"/>
        <w:outlineLvl w:val="0"/>
        <w:rPr>
          <w:rFonts w:hint="eastAsia" w:ascii="宋体" w:hAnsi="宋体" w:cs="宋体"/>
          <w:b/>
          <w:color w:val="auto"/>
          <w:sz w:val="24"/>
          <w:highlight w:val="none"/>
          <w:u w:val="single"/>
        </w:rPr>
      </w:pPr>
      <w:bookmarkStart w:id="8" w:name="_Toc38746990"/>
      <w:r>
        <w:rPr>
          <w:rFonts w:hint="eastAsia" w:ascii="宋体" w:hAnsi="宋体" w:cs="宋体"/>
          <w:b/>
          <w:color w:val="auto"/>
          <w:sz w:val="24"/>
          <w:highlight w:val="none"/>
        </w:rPr>
        <w:t>承包人（全称）：</w:t>
      </w:r>
      <w:r>
        <w:rPr>
          <w:rFonts w:hint="eastAsia" w:ascii="宋体" w:hAnsi="宋体" w:cs="宋体"/>
          <w:b/>
          <w:color w:val="auto"/>
          <w:sz w:val="24"/>
          <w:highlight w:val="none"/>
          <w:u w:val="single"/>
        </w:rPr>
        <w:t xml:space="preserve">                    </w:t>
      </w:r>
      <w:bookmarkEnd w:id="8"/>
      <w:bookmarkStart w:id="718" w:name="_GoBack"/>
      <w:bookmarkEnd w:id="718"/>
    </w:p>
    <w:p w14:paraId="0D13BCC4">
      <w:pPr>
        <w:pageBreakBefore w:val="0"/>
        <w:kinsoku/>
        <w:wordWrap/>
        <w:overflowPunct/>
        <w:topLinePunct w:val="0"/>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9" w:name="_Toc38746991"/>
      <w:r>
        <w:rPr>
          <w:rFonts w:hint="eastAsia" w:ascii="宋体" w:hAnsi="宋体" w:cs="宋体"/>
          <w:color w:val="auto"/>
          <w:sz w:val="24"/>
          <w:highlight w:val="none"/>
        </w:rPr>
        <w:t>根据《中华人民共和国民法典》、《中华人民共和国建筑法》及有关法律规定，遵循平等、自愿、公平和诚实信用的原则，双方就</w:t>
      </w:r>
      <w:r>
        <w:rPr>
          <w:rFonts w:hint="eastAsia" w:ascii="宋体" w:hAnsi="宋体" w:cs="宋体"/>
          <w:b/>
          <w:bCs/>
          <w:color w:val="auto"/>
          <w:sz w:val="24"/>
          <w:highlight w:val="none"/>
          <w:u w:val="single"/>
        </w:rPr>
        <w:t>2026年第二批次城市更新提优市政修复零星工程</w:t>
      </w:r>
      <w:r>
        <w:rPr>
          <w:rFonts w:hint="eastAsia" w:ascii="宋体" w:hAnsi="宋体" w:cs="宋体"/>
          <w:color w:val="auto"/>
          <w:sz w:val="24"/>
          <w:highlight w:val="none"/>
        </w:rPr>
        <w:t>施工及有关事项协商一致，共同达成如下协议：</w:t>
      </w:r>
      <w:bookmarkEnd w:id="9"/>
    </w:p>
    <w:p w14:paraId="0E8CCD99">
      <w:pPr>
        <w:keepNext/>
        <w:keepLines/>
        <w:pageBreakBefore w:val="0"/>
        <w:kinsoku/>
        <w:wordWrap/>
        <w:overflowPunct/>
        <w:topLinePunct w:val="0"/>
        <w:bidi w:val="0"/>
        <w:adjustRightInd w:val="0"/>
        <w:snapToGrid w:val="0"/>
        <w:spacing w:line="360" w:lineRule="auto"/>
        <w:textAlignment w:val="auto"/>
        <w:outlineLvl w:val="0"/>
        <w:rPr>
          <w:rFonts w:hint="eastAsia" w:ascii="宋体" w:hAnsi="宋体" w:cs="宋体"/>
          <w:b/>
          <w:color w:val="auto"/>
          <w:sz w:val="24"/>
          <w:highlight w:val="none"/>
        </w:rPr>
      </w:pPr>
      <w:bookmarkStart w:id="10" w:name="_Toc38746992"/>
      <w:bookmarkStart w:id="11" w:name="_Toc351203481"/>
      <w:r>
        <w:rPr>
          <w:rFonts w:hint="eastAsia" w:ascii="宋体" w:hAnsi="宋体" w:cs="宋体"/>
          <w:bCs/>
          <w:color w:val="auto"/>
          <w:sz w:val="24"/>
          <w:highlight w:val="none"/>
        </w:rPr>
        <w:t>一、工程概况</w:t>
      </w:r>
      <w:bookmarkEnd w:id="10"/>
      <w:bookmarkEnd w:id="11"/>
    </w:p>
    <w:p w14:paraId="57C68ECB">
      <w:pPr>
        <w:pageBreakBefore w:val="0"/>
        <w:kinsoku/>
        <w:wordWrap/>
        <w:overflowPunct/>
        <w:topLinePunct w:val="0"/>
        <w:bidi w:val="0"/>
        <w:adjustRightInd w:val="0"/>
        <w:snapToGrid w:val="0"/>
        <w:spacing w:line="360" w:lineRule="auto"/>
        <w:ind w:firstLine="470" w:firstLineChars="196"/>
        <w:textAlignment w:val="auto"/>
        <w:outlineLvl w:val="0"/>
        <w:rPr>
          <w:rFonts w:hint="eastAsia" w:ascii="宋体" w:hAnsi="宋体" w:eastAsia="宋体" w:cs="宋体"/>
          <w:color w:val="auto"/>
          <w:sz w:val="24"/>
          <w:highlight w:val="none"/>
          <w:u w:val="single"/>
          <w:lang w:eastAsia="zh-CN"/>
        </w:rPr>
      </w:pPr>
      <w:bookmarkStart w:id="12" w:name="_Toc38746993"/>
      <w:r>
        <w:rPr>
          <w:rFonts w:hint="eastAsia" w:ascii="宋体" w:hAnsi="宋体" w:cs="宋体"/>
          <w:bCs/>
          <w:color w:val="auto"/>
          <w:sz w:val="24"/>
          <w:highlight w:val="none"/>
        </w:rPr>
        <w:t>1.工程名称</w:t>
      </w:r>
      <w:r>
        <w:rPr>
          <w:rFonts w:hint="eastAsia" w:ascii="宋体" w:hAnsi="宋体" w:cs="宋体"/>
          <w:color w:val="auto"/>
          <w:sz w:val="24"/>
          <w:highlight w:val="none"/>
        </w:rPr>
        <w:t>：</w:t>
      </w:r>
      <w:bookmarkEnd w:id="12"/>
      <w:r>
        <w:rPr>
          <w:rFonts w:hint="eastAsia" w:ascii="宋体" w:hAnsi="宋体" w:cs="宋体"/>
          <w:color w:val="auto"/>
          <w:sz w:val="24"/>
          <w:highlight w:val="none"/>
          <w:u w:val="single"/>
          <w:lang w:eastAsia="zh-CN"/>
        </w:rPr>
        <w:t>2026年第二批次城市更新提优市政修复零星工程</w:t>
      </w:r>
    </w:p>
    <w:p w14:paraId="24746006">
      <w:pPr>
        <w:pageBreakBefore w:val="0"/>
        <w:kinsoku/>
        <w:wordWrap/>
        <w:overflowPunct/>
        <w:topLinePunct w:val="0"/>
        <w:bidi w:val="0"/>
        <w:adjustRightInd w:val="0"/>
        <w:snapToGrid w:val="0"/>
        <w:spacing w:line="360" w:lineRule="auto"/>
        <w:ind w:firstLine="470" w:firstLineChars="196"/>
        <w:textAlignment w:val="auto"/>
        <w:outlineLvl w:val="0"/>
        <w:rPr>
          <w:rFonts w:hint="eastAsia" w:ascii="宋体" w:hAnsi="宋体" w:cs="宋体"/>
          <w:bCs/>
          <w:color w:val="auto"/>
          <w:sz w:val="24"/>
          <w:highlight w:val="none"/>
        </w:rPr>
      </w:pPr>
      <w:bookmarkStart w:id="13" w:name="_Toc38746994"/>
      <w:r>
        <w:rPr>
          <w:rFonts w:hint="eastAsia" w:ascii="宋体" w:hAnsi="宋体" w:cs="宋体"/>
          <w:bCs/>
          <w:color w:val="auto"/>
          <w:sz w:val="24"/>
          <w:highlight w:val="none"/>
        </w:rPr>
        <w:t>2.工程地点：</w:t>
      </w:r>
      <w:r>
        <w:rPr>
          <w:rFonts w:hint="eastAsia" w:ascii="宋体" w:hAnsi="宋体" w:cs="宋体"/>
          <w:color w:val="auto"/>
          <w:sz w:val="24"/>
          <w:highlight w:val="none"/>
          <w:u w:val="single"/>
        </w:rPr>
        <w:t>无锡市惠山区前洲街道</w:t>
      </w:r>
      <w:r>
        <w:rPr>
          <w:rFonts w:hint="eastAsia" w:ascii="宋体" w:hAnsi="宋体" w:cs="宋体"/>
          <w:color w:val="auto"/>
          <w:sz w:val="24"/>
          <w:highlight w:val="none"/>
        </w:rPr>
        <w:t>。</w:t>
      </w:r>
      <w:bookmarkEnd w:id="13"/>
    </w:p>
    <w:p w14:paraId="33B16ED0">
      <w:pPr>
        <w:pageBreakBefore w:val="0"/>
        <w:kinsoku/>
        <w:wordWrap/>
        <w:overflowPunct/>
        <w:topLinePunct w:val="0"/>
        <w:bidi w:val="0"/>
        <w:adjustRightInd w:val="0"/>
        <w:snapToGrid w:val="0"/>
        <w:spacing w:line="360" w:lineRule="auto"/>
        <w:ind w:firstLine="470" w:firstLineChars="196"/>
        <w:textAlignment w:val="auto"/>
        <w:outlineLvl w:val="0"/>
        <w:rPr>
          <w:rFonts w:hint="eastAsia" w:ascii="宋体" w:hAnsi="宋体" w:cs="宋体"/>
          <w:bCs/>
          <w:color w:val="auto"/>
          <w:sz w:val="24"/>
          <w:highlight w:val="none"/>
        </w:rPr>
      </w:pPr>
      <w:bookmarkStart w:id="14" w:name="_Toc38746995"/>
      <w:r>
        <w:rPr>
          <w:rFonts w:hint="eastAsia" w:ascii="宋体" w:hAnsi="宋体" w:cs="宋体"/>
          <w:bCs/>
          <w:color w:val="auto"/>
          <w:sz w:val="24"/>
          <w:highlight w:val="none"/>
        </w:rPr>
        <w:t>3.工程立项批准文号：</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QZ2026061704</w:t>
      </w:r>
      <w:r>
        <w:rPr>
          <w:rFonts w:hint="eastAsia" w:ascii="宋体" w:hAnsi="宋体" w:cs="宋体"/>
          <w:bCs/>
          <w:color w:val="auto"/>
          <w:sz w:val="24"/>
          <w:highlight w:val="none"/>
        </w:rPr>
        <w:t>。</w:t>
      </w:r>
      <w:bookmarkEnd w:id="14"/>
    </w:p>
    <w:p w14:paraId="387B5B62">
      <w:pPr>
        <w:pageBreakBefore w:val="0"/>
        <w:kinsoku/>
        <w:wordWrap/>
        <w:overflowPunct/>
        <w:topLinePunct w:val="0"/>
        <w:bidi w:val="0"/>
        <w:adjustRightInd w:val="0"/>
        <w:snapToGrid w:val="0"/>
        <w:spacing w:line="360" w:lineRule="auto"/>
        <w:ind w:firstLine="470" w:firstLineChars="196"/>
        <w:textAlignment w:val="auto"/>
        <w:outlineLvl w:val="0"/>
        <w:rPr>
          <w:rFonts w:hint="eastAsia" w:ascii="宋体" w:hAnsi="宋体" w:cs="宋体"/>
          <w:bCs/>
          <w:color w:val="auto"/>
          <w:sz w:val="24"/>
          <w:highlight w:val="none"/>
        </w:rPr>
      </w:pPr>
      <w:bookmarkStart w:id="15" w:name="_Toc38746996"/>
      <w:r>
        <w:rPr>
          <w:rFonts w:hint="eastAsia" w:ascii="宋体" w:hAnsi="宋体" w:cs="宋体"/>
          <w:bCs/>
          <w:color w:val="auto"/>
          <w:sz w:val="24"/>
          <w:highlight w:val="none"/>
        </w:rPr>
        <w:t>4.资金来源：</w:t>
      </w:r>
      <w:r>
        <w:rPr>
          <w:rFonts w:hint="eastAsia" w:ascii="宋体" w:hAnsi="宋体" w:cs="宋体"/>
          <w:color w:val="auto"/>
          <w:sz w:val="24"/>
          <w:highlight w:val="none"/>
          <w:u w:val="single"/>
        </w:rPr>
        <w:t xml:space="preserve"> 自筹 </w:t>
      </w:r>
      <w:r>
        <w:rPr>
          <w:rFonts w:hint="eastAsia" w:ascii="宋体" w:hAnsi="宋体" w:cs="宋体"/>
          <w:bCs/>
          <w:color w:val="auto"/>
          <w:sz w:val="24"/>
          <w:highlight w:val="none"/>
        </w:rPr>
        <w:t>。</w:t>
      </w:r>
      <w:bookmarkEnd w:id="15"/>
    </w:p>
    <w:p w14:paraId="335F6A0C">
      <w:pPr>
        <w:pageBreakBefore w:val="0"/>
        <w:kinsoku/>
        <w:wordWrap/>
        <w:overflowPunct/>
        <w:topLinePunct w:val="0"/>
        <w:bidi w:val="0"/>
        <w:adjustRightInd w:val="0"/>
        <w:snapToGrid w:val="0"/>
        <w:spacing w:line="360" w:lineRule="auto"/>
        <w:ind w:firstLine="470" w:firstLineChars="196"/>
        <w:textAlignment w:val="auto"/>
        <w:outlineLvl w:val="0"/>
        <w:rPr>
          <w:rFonts w:hint="eastAsia" w:ascii="宋体" w:hAnsi="宋体" w:cs="宋体"/>
          <w:bCs/>
          <w:color w:val="auto"/>
          <w:sz w:val="24"/>
          <w:highlight w:val="none"/>
        </w:rPr>
      </w:pPr>
      <w:bookmarkStart w:id="16" w:name="_Toc38746997"/>
      <w:r>
        <w:rPr>
          <w:rFonts w:hint="eastAsia" w:ascii="宋体" w:hAnsi="宋体" w:cs="宋体"/>
          <w:bCs/>
          <w:color w:val="auto"/>
          <w:sz w:val="24"/>
          <w:highlight w:val="none"/>
        </w:rPr>
        <w:t>5.工程内容：</w:t>
      </w:r>
      <w:bookmarkEnd w:id="16"/>
      <w:r>
        <w:rPr>
          <w:rFonts w:hint="eastAsia" w:ascii="宋体" w:hAnsi="宋体" w:cs="宋体"/>
          <w:bCs/>
          <w:color w:val="auto"/>
          <w:sz w:val="24"/>
          <w:highlight w:val="none"/>
          <w:u w:val="single"/>
          <w:lang w:val="en-US" w:eastAsia="zh-CN"/>
        </w:rPr>
        <w:t>招标</w:t>
      </w:r>
      <w:r>
        <w:rPr>
          <w:rFonts w:hint="eastAsia" w:ascii="宋体" w:hAnsi="宋体" w:cs="宋体"/>
          <w:bCs/>
          <w:color w:val="auto"/>
          <w:sz w:val="24"/>
          <w:highlight w:val="none"/>
          <w:u w:val="single"/>
        </w:rPr>
        <w:t>范围内的</w:t>
      </w:r>
      <w:r>
        <w:rPr>
          <w:rFonts w:hint="eastAsia" w:ascii="宋体" w:hAnsi="宋体" w:cs="宋体"/>
          <w:color w:val="auto"/>
          <w:sz w:val="24"/>
          <w:highlight w:val="none"/>
          <w:u w:val="single"/>
          <w:lang w:val="en-US" w:eastAsia="zh-CN"/>
        </w:rPr>
        <w:t>城市更新提优市政修复零星工程</w:t>
      </w:r>
      <w:r>
        <w:rPr>
          <w:rFonts w:hint="eastAsia" w:ascii="宋体" w:hAnsi="宋体" w:cs="宋体"/>
          <w:bCs/>
          <w:color w:val="auto"/>
          <w:sz w:val="24"/>
          <w:highlight w:val="none"/>
          <w:u w:val="single"/>
        </w:rPr>
        <w:t>。</w:t>
      </w:r>
    </w:p>
    <w:p w14:paraId="094966F6">
      <w:pPr>
        <w:pageBreakBefore w:val="0"/>
        <w:kinsoku/>
        <w:wordWrap/>
        <w:overflowPunct/>
        <w:topLinePunct w:val="0"/>
        <w:bidi w:val="0"/>
        <w:adjustRightInd w:val="0"/>
        <w:snapToGrid w:val="0"/>
        <w:spacing w:line="360" w:lineRule="auto"/>
        <w:ind w:firstLine="470" w:firstLineChars="196"/>
        <w:textAlignment w:val="auto"/>
        <w:outlineLvl w:val="0"/>
        <w:rPr>
          <w:rFonts w:hint="eastAsia" w:ascii="宋体" w:hAnsi="宋体" w:cs="宋体"/>
          <w:bCs/>
          <w:color w:val="auto"/>
          <w:sz w:val="24"/>
          <w:highlight w:val="none"/>
        </w:rPr>
      </w:pPr>
      <w:bookmarkStart w:id="17" w:name="_Toc38746998"/>
      <w:r>
        <w:rPr>
          <w:rFonts w:hint="eastAsia" w:ascii="宋体" w:hAnsi="宋体" w:cs="宋体"/>
          <w:color w:val="auto"/>
          <w:sz w:val="24"/>
          <w:highlight w:val="none"/>
        </w:rPr>
        <w:t>群体工程应附《承包人承揽工程项目一览表》（附件1）。</w:t>
      </w:r>
      <w:bookmarkEnd w:id="17"/>
    </w:p>
    <w:p w14:paraId="635DC087">
      <w:pPr>
        <w:pageBreakBefore w:val="0"/>
        <w:kinsoku/>
        <w:wordWrap/>
        <w:overflowPunct/>
        <w:topLinePunct w:val="0"/>
        <w:bidi w:val="0"/>
        <w:adjustRightInd w:val="0"/>
        <w:snapToGrid w:val="0"/>
        <w:spacing w:line="360" w:lineRule="auto"/>
        <w:ind w:firstLine="470" w:firstLineChars="196"/>
        <w:textAlignment w:val="auto"/>
        <w:outlineLvl w:val="0"/>
        <w:rPr>
          <w:rFonts w:ascii="宋体" w:hAnsi="宋体" w:cs="宋体"/>
          <w:bCs/>
          <w:color w:val="auto"/>
          <w:sz w:val="24"/>
          <w:highlight w:val="none"/>
        </w:rPr>
      </w:pPr>
      <w:bookmarkStart w:id="18" w:name="_Toc38746999"/>
      <w:r>
        <w:rPr>
          <w:rFonts w:hint="eastAsia" w:ascii="宋体" w:hAnsi="宋体" w:cs="宋体"/>
          <w:bCs/>
          <w:color w:val="auto"/>
          <w:sz w:val="24"/>
          <w:highlight w:val="none"/>
        </w:rPr>
        <w:t>6.工程承包范围：</w:t>
      </w:r>
      <w:bookmarkEnd w:id="18"/>
      <w:bookmarkStart w:id="19" w:name="_Toc38747000"/>
      <w:bookmarkStart w:id="20" w:name="_Toc351203482"/>
      <w:r>
        <w:rPr>
          <w:rFonts w:hint="eastAsia" w:ascii="宋体" w:hAnsi="宋体" w:cs="宋体"/>
          <w:bCs/>
          <w:color w:val="auto"/>
          <w:sz w:val="24"/>
          <w:highlight w:val="none"/>
          <w:u w:val="single"/>
          <w:lang w:val="en-US" w:eastAsia="zh-CN"/>
        </w:rPr>
        <w:t>招标</w:t>
      </w:r>
      <w:r>
        <w:rPr>
          <w:rFonts w:hint="eastAsia" w:ascii="宋体" w:hAnsi="宋体" w:cs="宋体"/>
          <w:bCs/>
          <w:color w:val="auto"/>
          <w:sz w:val="24"/>
          <w:highlight w:val="none"/>
          <w:u w:val="single"/>
        </w:rPr>
        <w:t>范围内的</w:t>
      </w:r>
      <w:r>
        <w:rPr>
          <w:rFonts w:hint="eastAsia" w:ascii="宋体" w:hAnsi="宋体" w:cs="宋体"/>
          <w:color w:val="auto"/>
          <w:sz w:val="24"/>
          <w:highlight w:val="none"/>
          <w:u w:val="single"/>
          <w:lang w:val="en-US" w:eastAsia="zh-CN"/>
        </w:rPr>
        <w:t>城市更新提优市政修复零星工程</w:t>
      </w:r>
      <w:r>
        <w:rPr>
          <w:rFonts w:hint="eastAsia" w:ascii="宋体" w:hAnsi="宋体" w:cs="宋体"/>
          <w:bCs/>
          <w:color w:val="auto"/>
          <w:sz w:val="24"/>
          <w:highlight w:val="none"/>
          <w:u w:val="single"/>
        </w:rPr>
        <w:t>。</w:t>
      </w:r>
    </w:p>
    <w:p w14:paraId="6328775B">
      <w:pPr>
        <w:pageBreakBefore w:val="0"/>
        <w:kinsoku/>
        <w:wordWrap/>
        <w:overflowPunct/>
        <w:topLinePunct w:val="0"/>
        <w:bidi w:val="0"/>
        <w:adjustRightInd w:val="0"/>
        <w:snapToGrid w:val="0"/>
        <w:spacing w:line="360" w:lineRule="auto"/>
        <w:textAlignment w:val="auto"/>
        <w:outlineLvl w:val="0"/>
        <w:rPr>
          <w:rFonts w:hint="eastAsia" w:ascii="宋体" w:hAnsi="宋体" w:cs="宋体"/>
          <w:bCs/>
          <w:color w:val="auto"/>
          <w:sz w:val="24"/>
          <w:highlight w:val="none"/>
        </w:rPr>
      </w:pPr>
      <w:r>
        <w:rPr>
          <w:rFonts w:hint="eastAsia" w:ascii="宋体" w:hAnsi="宋体" w:cs="宋体"/>
          <w:bCs/>
          <w:color w:val="auto"/>
          <w:sz w:val="24"/>
          <w:highlight w:val="none"/>
        </w:rPr>
        <w:t>二、合同工期</w:t>
      </w:r>
      <w:bookmarkEnd w:id="19"/>
      <w:bookmarkEnd w:id="20"/>
    </w:p>
    <w:p w14:paraId="734E13B9">
      <w:pPr>
        <w:keepNext/>
        <w:keepLines/>
        <w:pageBreakBefore w:val="0"/>
        <w:kinsoku/>
        <w:wordWrap/>
        <w:overflowPunct/>
        <w:topLinePunct w:val="0"/>
        <w:bidi w:val="0"/>
        <w:adjustRightInd w:val="0"/>
        <w:snapToGrid w:val="0"/>
        <w:spacing w:line="360" w:lineRule="auto"/>
        <w:ind w:firstLine="480" w:firstLineChars="200"/>
        <w:textAlignment w:val="auto"/>
        <w:outlineLvl w:val="0"/>
        <w:rPr>
          <w:rFonts w:hint="eastAsia" w:ascii="宋体" w:hAnsi="宋体" w:cs="宋体"/>
          <w:color w:val="auto"/>
          <w:kern w:val="0"/>
          <w:sz w:val="24"/>
          <w:highlight w:val="none"/>
        </w:rPr>
      </w:pPr>
      <w:bookmarkStart w:id="21" w:name="_Toc351203483"/>
      <w:bookmarkStart w:id="22" w:name="_Toc38747004"/>
      <w:r>
        <w:rPr>
          <w:rFonts w:hint="eastAsia" w:ascii="宋体" w:hAnsi="宋体" w:eastAsia="宋体" w:cs="宋体"/>
          <w:bCs/>
          <w:color w:val="auto"/>
          <w:sz w:val="24"/>
          <w:szCs w:val="24"/>
          <w:highlight w:val="none"/>
          <w:u w:val="single"/>
          <w:lang w:val="en-US" w:eastAsia="zh-CN"/>
        </w:rPr>
        <w:t>自合同签订之日起至2026年12月底（具体开工日期，根据每次下达任务实际进度要求为准；如承包人不能在甲方要求时限内完成，则每拖延一天，按中标价的万分之八向发包人支付违约金，无限额）。非承包人原因导致的停工，停工工期不计入上述总工期内。</w:t>
      </w:r>
    </w:p>
    <w:p w14:paraId="05F351D6">
      <w:pPr>
        <w:keepNext/>
        <w:keepLines/>
        <w:pageBreakBefore w:val="0"/>
        <w:kinsoku/>
        <w:wordWrap/>
        <w:overflowPunct/>
        <w:topLinePunct w:val="0"/>
        <w:bidi w:val="0"/>
        <w:adjustRightInd w:val="0"/>
        <w:snapToGrid w:val="0"/>
        <w:spacing w:line="360" w:lineRule="auto"/>
        <w:textAlignment w:val="auto"/>
        <w:outlineLvl w:val="0"/>
        <w:rPr>
          <w:rFonts w:hint="eastAsia" w:ascii="宋体" w:hAnsi="宋体" w:cs="宋体"/>
          <w:b/>
          <w:color w:val="auto"/>
          <w:sz w:val="24"/>
          <w:highlight w:val="none"/>
        </w:rPr>
      </w:pPr>
      <w:r>
        <w:rPr>
          <w:rFonts w:hint="eastAsia" w:ascii="宋体" w:hAnsi="宋体" w:cs="宋体"/>
          <w:bCs/>
          <w:color w:val="auto"/>
          <w:sz w:val="24"/>
          <w:highlight w:val="none"/>
        </w:rPr>
        <w:t>三、质量标准</w:t>
      </w:r>
      <w:bookmarkEnd w:id="21"/>
      <w:bookmarkEnd w:id="22"/>
    </w:p>
    <w:p w14:paraId="512EDAB8">
      <w:pPr>
        <w:pageBreakBefore w:val="0"/>
        <w:kinsoku/>
        <w:wordWrap/>
        <w:overflowPunct/>
        <w:topLinePunct w:val="0"/>
        <w:bidi w:val="0"/>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一次验收合格；如本工程达不到一次验收或考核合格标准，承包人须修整至合格并按中标价的3%向发包人支付违约金。</w:t>
      </w:r>
    </w:p>
    <w:p w14:paraId="18970A16">
      <w:pPr>
        <w:keepNext/>
        <w:keepLines/>
        <w:pageBreakBefore w:val="0"/>
        <w:kinsoku/>
        <w:wordWrap/>
        <w:overflowPunct/>
        <w:topLinePunct w:val="0"/>
        <w:bidi w:val="0"/>
        <w:adjustRightInd w:val="0"/>
        <w:snapToGrid w:val="0"/>
        <w:spacing w:line="360" w:lineRule="auto"/>
        <w:textAlignment w:val="auto"/>
        <w:outlineLvl w:val="0"/>
        <w:rPr>
          <w:rFonts w:hint="eastAsia" w:ascii="宋体" w:hAnsi="宋体" w:cs="宋体"/>
          <w:b/>
          <w:color w:val="auto"/>
          <w:sz w:val="24"/>
          <w:highlight w:val="none"/>
        </w:rPr>
      </w:pPr>
      <w:bookmarkStart w:id="23" w:name="_Toc351203484"/>
      <w:bookmarkStart w:id="24" w:name="_Toc38747006"/>
      <w:r>
        <w:rPr>
          <w:rFonts w:hint="eastAsia" w:ascii="宋体" w:hAnsi="宋体" w:cs="宋体"/>
          <w:bCs/>
          <w:color w:val="auto"/>
          <w:sz w:val="24"/>
          <w:highlight w:val="none"/>
        </w:rPr>
        <w:t>四、签约合同价与合同价格形式</w:t>
      </w:r>
      <w:bookmarkEnd w:id="23"/>
      <w:bookmarkEnd w:id="24"/>
      <w:r>
        <w:rPr>
          <w:rFonts w:hint="eastAsia" w:ascii="宋体" w:hAnsi="宋体" w:cs="宋体"/>
          <w:bCs/>
          <w:color w:val="auto"/>
          <w:sz w:val="24"/>
          <w:highlight w:val="none"/>
        </w:rPr>
        <w:tab/>
      </w:r>
    </w:p>
    <w:p w14:paraId="43BD50A6">
      <w:pPr>
        <w:pageBreakBefore w:val="0"/>
        <w:widowControl/>
        <w:kinsoku/>
        <w:wordWrap/>
        <w:overflowPunct/>
        <w:topLinePunct w:val="0"/>
        <w:bidi w:val="0"/>
        <w:spacing w:line="360" w:lineRule="auto"/>
        <w:ind w:firstLine="480" w:firstLineChars="200"/>
        <w:jc w:val="left"/>
        <w:textAlignment w:val="auto"/>
        <w:rPr>
          <w:rFonts w:hint="eastAsia" w:ascii="宋体" w:hAnsi="宋体" w:cs="宋体"/>
          <w:color w:val="auto"/>
          <w:kern w:val="0"/>
          <w:sz w:val="24"/>
          <w:highlight w:val="none"/>
        </w:rPr>
      </w:pPr>
      <w:r>
        <w:rPr>
          <w:rFonts w:hint="eastAsia" w:ascii="宋体" w:hAnsi="宋体"/>
          <w:color w:val="auto"/>
          <w:sz w:val="24"/>
          <w:highlight w:val="none"/>
        </w:rPr>
        <w:t>1.签约合同价</w:t>
      </w:r>
      <w:r>
        <w:rPr>
          <w:rFonts w:hint="eastAsia" w:ascii="宋体" w:hAnsi="宋体" w:cs="宋体"/>
          <w:color w:val="auto"/>
          <w:kern w:val="0"/>
          <w:sz w:val="24"/>
          <w:highlight w:val="none"/>
        </w:rPr>
        <w:t>：暂定金额（大写）</w:t>
      </w:r>
      <w:r>
        <w:rPr>
          <w:rFonts w:hint="eastAsia" w:ascii="宋体" w:hAnsi="宋体" w:cs="宋体"/>
          <w:color w:val="auto"/>
          <w:kern w:val="0"/>
          <w:sz w:val="24"/>
          <w:highlight w:val="none"/>
          <w:u w:val="single"/>
          <w:lang w:val="en-US" w:eastAsia="zh-CN"/>
        </w:rPr>
        <w:t>玖拾万元整</w:t>
      </w:r>
      <w:r>
        <w:rPr>
          <w:rFonts w:hint="eastAsia" w:ascii="宋体" w:hAnsi="宋体" w:cs="宋体"/>
          <w:color w:val="auto"/>
          <w:kern w:val="0"/>
          <w:sz w:val="24"/>
          <w:highlight w:val="none"/>
        </w:rPr>
        <w:t>（人民币）</w:t>
      </w:r>
    </w:p>
    <w:p w14:paraId="37876145">
      <w:pPr>
        <w:pageBreakBefore w:val="0"/>
        <w:widowControl/>
        <w:kinsoku/>
        <w:wordWrap/>
        <w:overflowPunct/>
        <w:topLinePunct w:val="0"/>
        <w:bidi w:val="0"/>
        <w:spacing w:line="360" w:lineRule="auto"/>
        <w:ind w:firstLine="1680" w:firstLineChars="7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￥：暂定金额</w:t>
      </w:r>
      <w:r>
        <w:rPr>
          <w:rFonts w:hint="eastAsia" w:ascii="宋体" w:hAnsi="宋体" w:cs="宋体"/>
          <w:color w:val="auto"/>
          <w:kern w:val="0"/>
          <w:sz w:val="24"/>
          <w:highlight w:val="none"/>
          <w:u w:val="single"/>
          <w:lang w:val="en-US" w:eastAsia="zh-CN"/>
        </w:rPr>
        <w:t>900000.00</w:t>
      </w:r>
      <w:r>
        <w:rPr>
          <w:rFonts w:hint="eastAsia" w:ascii="宋体" w:hAnsi="宋体" w:cs="宋体"/>
          <w:color w:val="auto"/>
          <w:kern w:val="0"/>
          <w:sz w:val="24"/>
          <w:highlight w:val="none"/>
        </w:rPr>
        <w:t>元</w:t>
      </w:r>
    </w:p>
    <w:p w14:paraId="0C3B136B">
      <w:pPr>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color w:val="auto"/>
          <w:kern w:val="0"/>
          <w:sz w:val="24"/>
          <w:highlight w:val="none"/>
          <w:u w:val="single"/>
          <w:lang w:eastAsia="zh-CN"/>
        </w:rPr>
      </w:pPr>
      <w:r>
        <w:rPr>
          <w:rFonts w:ascii="宋体" w:hAnsi="宋体" w:eastAsia="宋体" w:cs="宋体"/>
          <w:color w:val="auto"/>
          <w:sz w:val="24"/>
          <w:szCs w:val="24"/>
          <w:highlight w:val="none"/>
        </w:rPr>
        <w:t>其中不含税金额（大写）_______（小写）______元，增值税税率为__%，增值税额（大写）_______，（小写）</w:t>
      </w:r>
      <w:r>
        <w:rPr>
          <w:rFonts w:hint="eastAsia" w:ascii="宋体" w:hAnsi="宋体" w:eastAsia="宋体" w:cs="宋体"/>
          <w:color w:val="auto"/>
          <w:sz w:val="24"/>
          <w:szCs w:val="24"/>
          <w:highlight w:val="none"/>
          <w:u w:val="single"/>
          <w:lang w:val="en-US" w:eastAsia="zh-CN"/>
        </w:rPr>
        <w:t xml:space="preserve">        </w:t>
      </w:r>
      <w:r>
        <w:rPr>
          <w:rFonts w:ascii="宋体" w:hAnsi="宋体" w:eastAsia="宋体" w:cs="宋体"/>
          <w:color w:val="auto"/>
          <w:sz w:val="24"/>
          <w:szCs w:val="24"/>
          <w:highlight w:val="none"/>
        </w:rPr>
        <w:t>元。</w:t>
      </w:r>
    </w:p>
    <w:p w14:paraId="4A6E805C">
      <w:pPr>
        <w:pageBreakBefore w:val="0"/>
        <w:kinsoku/>
        <w:wordWrap/>
        <w:overflowPunct/>
        <w:topLinePunct w:val="0"/>
        <w:bidi w:val="0"/>
        <w:spacing w:line="360" w:lineRule="auto"/>
        <w:ind w:firstLine="480" w:firstLineChars="200"/>
        <w:contextualSpacing/>
        <w:textAlignment w:val="auto"/>
        <w:rPr>
          <w:rFonts w:ascii="宋体" w:hAnsi="宋体"/>
          <w:color w:val="auto"/>
          <w:sz w:val="24"/>
          <w:highlight w:val="none"/>
        </w:rPr>
      </w:pPr>
      <w:r>
        <w:rPr>
          <w:rFonts w:ascii="宋体" w:hAnsi="宋体"/>
          <w:color w:val="auto"/>
          <w:sz w:val="24"/>
          <w:highlight w:val="none"/>
        </w:rPr>
        <w:t>2.合同价格形式：</w:t>
      </w:r>
      <w:r>
        <w:rPr>
          <w:rFonts w:hint="eastAsia" w:ascii="宋体" w:hAnsi="宋体"/>
          <w:color w:val="auto"/>
          <w:sz w:val="24"/>
          <w:highlight w:val="none"/>
          <w:u w:val="single"/>
        </w:rPr>
        <w:t>固定费率</w:t>
      </w:r>
      <w:r>
        <w:rPr>
          <w:rFonts w:hint="eastAsia" w:ascii="宋体" w:hAnsi="宋体"/>
          <w:color w:val="auto"/>
          <w:sz w:val="24"/>
          <w:highlight w:val="none"/>
          <w:u w:val="none"/>
        </w:rPr>
        <w:t>。</w:t>
      </w:r>
      <w:r>
        <w:rPr>
          <w:rFonts w:hint="eastAsia" w:ascii="宋体" w:hAnsi="宋体"/>
          <w:color w:val="auto"/>
          <w:sz w:val="24"/>
          <w:highlight w:val="none"/>
        </w:rPr>
        <w:t>工程按实结算，总价下浮</w:t>
      </w:r>
      <w:r>
        <w:rPr>
          <w:rFonts w:hint="eastAsia" w:ascii="宋体" w:hAnsi="宋体"/>
          <w:color w:val="auto"/>
          <w:sz w:val="24"/>
          <w:highlight w:val="none"/>
          <w:u w:val="single"/>
          <w:lang w:val="en-US" w:eastAsia="zh-CN"/>
        </w:rPr>
        <w:t xml:space="preserve"> 6 </w:t>
      </w:r>
      <w:r>
        <w:rPr>
          <w:rFonts w:hint="eastAsia" w:ascii="宋体" w:hAnsi="宋体"/>
          <w:color w:val="auto"/>
          <w:sz w:val="24"/>
          <w:highlight w:val="none"/>
          <w:u w:val="none"/>
          <w:lang w:val="en-US" w:eastAsia="zh-CN"/>
        </w:rPr>
        <w:t>%</w:t>
      </w:r>
      <w:r>
        <w:rPr>
          <w:rFonts w:hint="eastAsia" w:ascii="宋体" w:hAnsi="宋体"/>
          <w:color w:val="auto"/>
          <w:sz w:val="24"/>
          <w:highlight w:val="none"/>
        </w:rPr>
        <w:t>，即最终价款按审定价下浮</w:t>
      </w:r>
      <w:r>
        <w:rPr>
          <w:rFonts w:hint="eastAsia" w:ascii="宋体" w:hAnsi="宋体"/>
          <w:color w:val="auto"/>
          <w:sz w:val="24"/>
          <w:highlight w:val="none"/>
          <w:u w:val="single"/>
          <w:lang w:val="en-US" w:eastAsia="zh-CN"/>
        </w:rPr>
        <w:t xml:space="preserve"> 6 </w:t>
      </w:r>
      <w:r>
        <w:rPr>
          <w:rFonts w:hint="eastAsia" w:ascii="宋体" w:hAnsi="宋体"/>
          <w:color w:val="auto"/>
          <w:sz w:val="24"/>
          <w:highlight w:val="none"/>
          <w:u w:val="none"/>
          <w:lang w:val="en-US" w:eastAsia="zh-CN"/>
        </w:rPr>
        <w:t>%</w:t>
      </w:r>
      <w:r>
        <w:rPr>
          <w:rFonts w:hint="eastAsia" w:ascii="宋体" w:hAnsi="宋体"/>
          <w:color w:val="auto"/>
          <w:sz w:val="24"/>
          <w:highlight w:val="none"/>
        </w:rPr>
        <w:t>作为该项目结算价。</w:t>
      </w:r>
      <w:bookmarkStart w:id="25" w:name="_Toc351203485"/>
      <w:bookmarkStart w:id="26" w:name="_Toc38747019"/>
    </w:p>
    <w:p w14:paraId="49C5F92C">
      <w:pPr>
        <w:pageBreakBefore w:val="0"/>
        <w:kinsoku/>
        <w:wordWrap/>
        <w:overflowPunct/>
        <w:topLinePunct w:val="0"/>
        <w:bidi w:val="0"/>
        <w:spacing w:line="360" w:lineRule="auto"/>
        <w:contextualSpacing/>
        <w:textAlignment w:val="auto"/>
        <w:rPr>
          <w:rFonts w:hint="eastAsia" w:ascii="宋体" w:hAnsi="宋体"/>
          <w:color w:val="auto"/>
          <w:sz w:val="24"/>
          <w:highlight w:val="none"/>
        </w:rPr>
      </w:pPr>
      <w:r>
        <w:rPr>
          <w:rFonts w:hint="eastAsia" w:ascii="宋体" w:hAnsi="宋体" w:cs="宋体"/>
          <w:bCs/>
          <w:color w:val="auto"/>
          <w:sz w:val="24"/>
          <w:highlight w:val="none"/>
        </w:rPr>
        <w:t>五、</w:t>
      </w:r>
      <w:bookmarkEnd w:id="25"/>
      <w:r>
        <w:rPr>
          <w:rFonts w:hint="eastAsia" w:ascii="宋体" w:hAnsi="宋体" w:cs="宋体"/>
          <w:bCs/>
          <w:color w:val="auto"/>
          <w:sz w:val="24"/>
          <w:highlight w:val="none"/>
        </w:rPr>
        <w:t>项目经理</w:t>
      </w:r>
      <w:bookmarkEnd w:id="26"/>
    </w:p>
    <w:p w14:paraId="7BB21529">
      <w:pPr>
        <w:pageBreakBefore w:val="0"/>
        <w:kinsoku/>
        <w:wordWrap/>
        <w:overflowPunct/>
        <w:topLinePunct w:val="0"/>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7" w:name="_Toc38747020"/>
      <w:r>
        <w:rPr>
          <w:rFonts w:hint="eastAsia" w:ascii="宋体" w:hAnsi="宋体" w:cs="宋体"/>
          <w:color w:val="auto"/>
          <w:sz w:val="24"/>
          <w:highlight w:val="none"/>
        </w:rPr>
        <w:t>承包人项目经理：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27"/>
    </w:p>
    <w:p w14:paraId="54B6E74B">
      <w:pPr>
        <w:keepNext/>
        <w:keepLines/>
        <w:pageBreakBefore w:val="0"/>
        <w:kinsoku/>
        <w:wordWrap/>
        <w:overflowPunct/>
        <w:topLinePunct w:val="0"/>
        <w:bidi w:val="0"/>
        <w:adjustRightInd w:val="0"/>
        <w:snapToGrid w:val="0"/>
        <w:spacing w:line="360" w:lineRule="auto"/>
        <w:textAlignment w:val="auto"/>
        <w:outlineLvl w:val="0"/>
        <w:rPr>
          <w:rFonts w:hint="eastAsia" w:ascii="宋体" w:hAnsi="宋体" w:cs="宋体"/>
          <w:b/>
          <w:color w:val="auto"/>
          <w:sz w:val="24"/>
          <w:highlight w:val="none"/>
        </w:rPr>
      </w:pPr>
      <w:bookmarkStart w:id="28" w:name="_Toc351203486"/>
      <w:bookmarkStart w:id="29" w:name="_Toc38747021"/>
      <w:r>
        <w:rPr>
          <w:rFonts w:hint="eastAsia" w:ascii="宋体" w:hAnsi="宋体" w:cs="宋体"/>
          <w:bCs/>
          <w:color w:val="auto"/>
          <w:sz w:val="24"/>
          <w:highlight w:val="none"/>
        </w:rPr>
        <w:t>六、合同文件构成</w:t>
      </w:r>
      <w:bookmarkEnd w:id="28"/>
      <w:bookmarkEnd w:id="29"/>
    </w:p>
    <w:p w14:paraId="125B67DF">
      <w:pPr>
        <w:pageBreakBefore w:val="0"/>
        <w:kinsoku/>
        <w:wordWrap/>
        <w:overflowPunct/>
        <w:topLinePunct w:val="0"/>
        <w:bidi w:val="0"/>
        <w:adjustRightInd w:val="0"/>
        <w:snapToGrid w:val="0"/>
        <w:spacing w:line="360" w:lineRule="auto"/>
        <w:ind w:firstLine="480" w:firstLineChars="200"/>
        <w:textAlignment w:val="auto"/>
        <w:outlineLvl w:val="0"/>
        <w:rPr>
          <w:rFonts w:hint="eastAsia" w:ascii="宋体" w:hAnsi="宋体" w:cs="宋体"/>
          <w:bCs/>
          <w:color w:val="auto"/>
          <w:sz w:val="24"/>
          <w:highlight w:val="none"/>
        </w:rPr>
      </w:pPr>
      <w:bookmarkStart w:id="30" w:name="_Toc38747022"/>
      <w:r>
        <w:rPr>
          <w:rFonts w:hint="eastAsia" w:ascii="宋体" w:hAnsi="宋体" w:cs="宋体"/>
          <w:bCs/>
          <w:color w:val="auto"/>
          <w:sz w:val="24"/>
          <w:highlight w:val="none"/>
        </w:rPr>
        <w:t>本协议书与下列文件一起构成合同文件：</w:t>
      </w:r>
      <w:bookmarkEnd w:id="30"/>
    </w:p>
    <w:p w14:paraId="50C33DCF">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outlineLvl w:val="0"/>
        <w:rPr>
          <w:rFonts w:hint="eastAsia" w:ascii="宋体" w:hAnsi="宋体" w:cs="宋体"/>
          <w:color w:val="auto"/>
          <w:sz w:val="24"/>
          <w:highlight w:val="none"/>
        </w:rPr>
      </w:pPr>
      <w:bookmarkStart w:id="31" w:name="_Toc38747023"/>
      <w:r>
        <w:rPr>
          <w:rFonts w:hint="eastAsia" w:ascii="宋体" w:hAnsi="宋体" w:cs="宋体"/>
          <w:color w:val="auto"/>
          <w:sz w:val="24"/>
          <w:highlight w:val="none"/>
        </w:rPr>
        <w:t>（1）中标通知书（如果有）；</w:t>
      </w:r>
      <w:bookmarkEnd w:id="31"/>
    </w:p>
    <w:p w14:paraId="3F86D736">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outlineLvl w:val="0"/>
        <w:rPr>
          <w:rFonts w:hint="eastAsia" w:ascii="宋体" w:hAnsi="宋体" w:cs="宋体"/>
          <w:color w:val="auto"/>
          <w:sz w:val="24"/>
          <w:highlight w:val="none"/>
        </w:rPr>
      </w:pPr>
      <w:bookmarkStart w:id="32" w:name="_Toc38747024"/>
      <w:r>
        <w:rPr>
          <w:rFonts w:hint="eastAsia" w:ascii="宋体" w:hAnsi="宋体" w:cs="宋体"/>
          <w:color w:val="auto"/>
          <w:sz w:val="24"/>
          <w:highlight w:val="none"/>
        </w:rPr>
        <w:t>（2）投标函及其附录（如果有）；</w:t>
      </w:r>
      <w:bookmarkEnd w:id="32"/>
      <w:r>
        <w:rPr>
          <w:rFonts w:hint="eastAsia" w:ascii="宋体" w:hAnsi="宋体" w:cs="宋体"/>
          <w:color w:val="auto"/>
          <w:sz w:val="24"/>
          <w:highlight w:val="none"/>
        </w:rPr>
        <w:t xml:space="preserve"> </w:t>
      </w:r>
    </w:p>
    <w:p w14:paraId="0BD040A9">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outlineLvl w:val="0"/>
        <w:rPr>
          <w:rFonts w:hint="eastAsia" w:ascii="宋体" w:hAnsi="宋体" w:cs="宋体"/>
          <w:color w:val="auto"/>
          <w:sz w:val="24"/>
          <w:highlight w:val="none"/>
        </w:rPr>
      </w:pPr>
      <w:bookmarkStart w:id="33" w:name="_Toc38747025"/>
      <w:r>
        <w:rPr>
          <w:rFonts w:hint="eastAsia" w:ascii="宋体" w:hAnsi="宋体" w:cs="宋体"/>
          <w:color w:val="auto"/>
          <w:sz w:val="24"/>
          <w:highlight w:val="none"/>
        </w:rPr>
        <w:t>（3）专用合同条款及其附件；</w:t>
      </w:r>
      <w:bookmarkEnd w:id="33"/>
    </w:p>
    <w:p w14:paraId="0ADFA7F3">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outlineLvl w:val="0"/>
        <w:rPr>
          <w:rFonts w:hint="eastAsia" w:ascii="宋体" w:hAnsi="宋体" w:cs="宋体"/>
          <w:color w:val="auto"/>
          <w:sz w:val="24"/>
          <w:highlight w:val="none"/>
        </w:rPr>
      </w:pPr>
      <w:bookmarkStart w:id="34" w:name="_Toc38747026"/>
      <w:r>
        <w:rPr>
          <w:rFonts w:hint="eastAsia" w:ascii="宋体" w:hAnsi="宋体" w:cs="宋体"/>
          <w:color w:val="auto"/>
          <w:sz w:val="24"/>
          <w:highlight w:val="none"/>
        </w:rPr>
        <w:t>（4）通用合同条款；</w:t>
      </w:r>
      <w:bookmarkEnd w:id="34"/>
    </w:p>
    <w:p w14:paraId="3591C6BA">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outlineLvl w:val="0"/>
        <w:rPr>
          <w:rFonts w:hint="eastAsia" w:ascii="宋体" w:hAnsi="宋体" w:cs="宋体"/>
          <w:color w:val="auto"/>
          <w:sz w:val="24"/>
          <w:highlight w:val="none"/>
        </w:rPr>
      </w:pPr>
      <w:bookmarkStart w:id="35" w:name="_Toc38747027"/>
      <w:r>
        <w:rPr>
          <w:rFonts w:hint="eastAsia" w:ascii="宋体" w:hAnsi="宋体" w:cs="宋体"/>
          <w:color w:val="auto"/>
          <w:sz w:val="24"/>
          <w:highlight w:val="none"/>
        </w:rPr>
        <w:t>（5）技术标准和要求；</w:t>
      </w:r>
      <w:bookmarkEnd w:id="35"/>
    </w:p>
    <w:p w14:paraId="54494F98">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outlineLvl w:val="0"/>
        <w:rPr>
          <w:rFonts w:hint="eastAsia" w:ascii="宋体" w:hAnsi="宋体" w:cs="宋体"/>
          <w:color w:val="auto"/>
          <w:sz w:val="24"/>
          <w:highlight w:val="none"/>
        </w:rPr>
      </w:pPr>
      <w:bookmarkStart w:id="36" w:name="_Toc38747028"/>
      <w:r>
        <w:rPr>
          <w:rFonts w:hint="eastAsia" w:ascii="宋体" w:hAnsi="宋体" w:cs="宋体"/>
          <w:color w:val="auto"/>
          <w:sz w:val="24"/>
          <w:highlight w:val="none"/>
        </w:rPr>
        <w:t>（6）图纸；</w:t>
      </w:r>
      <w:bookmarkEnd w:id="36"/>
    </w:p>
    <w:p w14:paraId="0161594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outlineLvl w:val="0"/>
        <w:rPr>
          <w:rFonts w:hint="eastAsia" w:ascii="宋体" w:hAnsi="宋体" w:cs="宋体"/>
          <w:color w:val="auto"/>
          <w:sz w:val="24"/>
          <w:highlight w:val="none"/>
        </w:rPr>
      </w:pPr>
      <w:bookmarkStart w:id="37" w:name="_Toc38747029"/>
      <w:r>
        <w:rPr>
          <w:rFonts w:hint="eastAsia" w:ascii="宋体" w:hAnsi="宋体" w:cs="宋体"/>
          <w:color w:val="auto"/>
          <w:sz w:val="24"/>
          <w:highlight w:val="none"/>
        </w:rPr>
        <w:t>（7）已标价工程量清单或预算书；</w:t>
      </w:r>
      <w:bookmarkEnd w:id="37"/>
    </w:p>
    <w:p w14:paraId="4EDCE3E0">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outlineLvl w:val="0"/>
        <w:rPr>
          <w:rFonts w:hint="eastAsia" w:ascii="宋体" w:hAnsi="宋体" w:cs="宋体"/>
          <w:color w:val="auto"/>
          <w:sz w:val="24"/>
          <w:highlight w:val="none"/>
        </w:rPr>
      </w:pPr>
      <w:bookmarkStart w:id="38" w:name="_Toc38747030"/>
      <w:r>
        <w:rPr>
          <w:rFonts w:hint="eastAsia" w:ascii="宋体" w:hAnsi="宋体" w:cs="宋体"/>
          <w:color w:val="auto"/>
          <w:sz w:val="24"/>
          <w:highlight w:val="none"/>
        </w:rPr>
        <w:t>（8）其他合同文件。</w:t>
      </w:r>
      <w:bookmarkEnd w:id="38"/>
    </w:p>
    <w:p w14:paraId="0C3799B1">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outlineLvl w:val="0"/>
        <w:rPr>
          <w:rFonts w:hint="eastAsia" w:ascii="宋体" w:hAnsi="宋体" w:cs="宋体"/>
          <w:color w:val="auto"/>
          <w:sz w:val="24"/>
          <w:highlight w:val="none"/>
        </w:rPr>
      </w:pPr>
      <w:bookmarkStart w:id="39" w:name="_Toc38747031"/>
      <w:r>
        <w:rPr>
          <w:rFonts w:hint="eastAsia" w:ascii="宋体" w:hAnsi="宋体" w:cs="宋体"/>
          <w:color w:val="auto"/>
          <w:sz w:val="24"/>
          <w:highlight w:val="none"/>
        </w:rPr>
        <w:t>在合同订立及履行过程中形成的与合同有关的文件均构成合同文件组成部分。</w:t>
      </w:r>
      <w:bookmarkEnd w:id="39"/>
    </w:p>
    <w:p w14:paraId="7656DE7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outlineLvl w:val="0"/>
        <w:rPr>
          <w:rFonts w:hint="eastAsia" w:ascii="宋体" w:hAnsi="宋体" w:cs="宋体"/>
          <w:color w:val="auto"/>
          <w:sz w:val="24"/>
          <w:highlight w:val="none"/>
        </w:rPr>
      </w:pPr>
      <w:bookmarkStart w:id="40" w:name="_Toc38747032"/>
      <w:r>
        <w:rPr>
          <w:rFonts w:hint="eastAsia" w:ascii="宋体" w:hAnsi="宋体" w:cs="宋体"/>
          <w:color w:val="auto"/>
          <w:sz w:val="24"/>
          <w:highlight w:val="none"/>
        </w:rPr>
        <w:t>上述各项合同文件包括合同当事人就该项合同文件所作出的补充和修改，属于同一类内容的文件，应以最新签署的为准。专用合同条款及其附件须经合同当事人签字或盖章。</w:t>
      </w:r>
      <w:bookmarkEnd w:id="40"/>
    </w:p>
    <w:p w14:paraId="6508BBBD">
      <w:pPr>
        <w:keepNext/>
        <w:keepLines/>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41" w:name="_Toc351203487"/>
      <w:bookmarkStart w:id="42" w:name="_Toc38747033"/>
      <w:r>
        <w:rPr>
          <w:rFonts w:hint="eastAsia" w:ascii="宋体" w:hAnsi="宋体" w:cs="宋体"/>
          <w:bCs/>
          <w:color w:val="auto"/>
          <w:sz w:val="24"/>
          <w:highlight w:val="none"/>
        </w:rPr>
        <w:t>七、承诺</w:t>
      </w:r>
      <w:bookmarkEnd w:id="41"/>
      <w:bookmarkEnd w:id="42"/>
    </w:p>
    <w:p w14:paraId="7A1BCA09">
      <w:pPr>
        <w:pageBreakBefore w:val="0"/>
        <w:kinsoku/>
        <w:wordWrap/>
        <w:overflowPunct/>
        <w:topLinePunct w:val="0"/>
        <w:bidi w:val="0"/>
        <w:adjustRightInd w:val="0"/>
        <w:snapToGrid w:val="0"/>
        <w:spacing w:line="360" w:lineRule="auto"/>
        <w:ind w:firstLine="480" w:firstLineChars="200"/>
        <w:textAlignment w:val="auto"/>
        <w:outlineLvl w:val="0"/>
        <w:rPr>
          <w:rFonts w:hint="eastAsia" w:ascii="宋体" w:hAnsi="宋体" w:cs="宋体"/>
          <w:bCs/>
          <w:color w:val="auto"/>
          <w:sz w:val="24"/>
          <w:highlight w:val="none"/>
        </w:rPr>
      </w:pPr>
      <w:bookmarkStart w:id="43" w:name="_Toc38747034"/>
      <w:r>
        <w:rPr>
          <w:rFonts w:hint="eastAsia" w:ascii="宋体" w:hAnsi="宋体" w:cs="宋体"/>
          <w:bCs/>
          <w:color w:val="auto"/>
          <w:sz w:val="24"/>
          <w:highlight w:val="none"/>
        </w:rPr>
        <w:t>1.发包人承诺按照法律规定履行项目审批手续、筹集工程建设资金并按照合同约定的期限和方式支付合同价款。</w:t>
      </w:r>
      <w:bookmarkEnd w:id="43"/>
    </w:p>
    <w:p w14:paraId="6C5FFCA7">
      <w:pPr>
        <w:pageBreakBefore w:val="0"/>
        <w:kinsoku/>
        <w:wordWrap/>
        <w:overflowPunct/>
        <w:topLinePunct w:val="0"/>
        <w:bidi w:val="0"/>
        <w:adjustRightInd w:val="0"/>
        <w:snapToGrid w:val="0"/>
        <w:spacing w:line="360" w:lineRule="auto"/>
        <w:ind w:firstLine="480" w:firstLineChars="200"/>
        <w:textAlignment w:val="auto"/>
        <w:outlineLvl w:val="0"/>
        <w:rPr>
          <w:rFonts w:hint="eastAsia" w:ascii="宋体" w:hAnsi="宋体" w:cs="宋体"/>
          <w:bCs/>
          <w:color w:val="auto"/>
          <w:sz w:val="24"/>
          <w:highlight w:val="none"/>
        </w:rPr>
      </w:pPr>
      <w:bookmarkStart w:id="44" w:name="_Toc38747035"/>
      <w:r>
        <w:rPr>
          <w:rFonts w:hint="eastAsia" w:ascii="宋体" w:hAnsi="宋体" w:cs="宋体"/>
          <w:bCs/>
          <w:color w:val="auto"/>
          <w:sz w:val="24"/>
          <w:highlight w:val="none"/>
        </w:rPr>
        <w:t>2.承包人承诺按照法律规定及合同约定组织完成工程施工，确保工程质量和安全，不进行转包及违法分包，并在缺陷责任期及保修期内承担相应的工程维修责任。</w:t>
      </w:r>
      <w:bookmarkEnd w:id="44"/>
    </w:p>
    <w:p w14:paraId="4F627EC3">
      <w:pPr>
        <w:pageBreakBefore w:val="0"/>
        <w:kinsoku/>
        <w:wordWrap/>
        <w:overflowPunct/>
        <w:topLinePunct w:val="0"/>
        <w:bidi w:val="0"/>
        <w:adjustRightInd w:val="0"/>
        <w:snapToGrid w:val="0"/>
        <w:spacing w:line="360" w:lineRule="auto"/>
        <w:ind w:firstLine="480" w:firstLineChars="200"/>
        <w:textAlignment w:val="auto"/>
        <w:outlineLvl w:val="0"/>
        <w:rPr>
          <w:rFonts w:hint="eastAsia" w:ascii="宋体" w:hAnsi="宋体" w:cs="宋体"/>
          <w:bCs/>
          <w:color w:val="auto"/>
          <w:sz w:val="24"/>
          <w:highlight w:val="none"/>
        </w:rPr>
      </w:pPr>
      <w:bookmarkStart w:id="45" w:name="_Toc38747036"/>
      <w:r>
        <w:rPr>
          <w:rFonts w:hint="eastAsia" w:ascii="宋体" w:hAnsi="宋体" w:cs="宋体"/>
          <w:bCs/>
          <w:color w:val="auto"/>
          <w:sz w:val="24"/>
          <w:highlight w:val="none"/>
        </w:rPr>
        <w:t>3.发包人和承包人通过招投标形式签订合同的，双方理解并承诺不再就同一工程另行签订与合同实质性内容相背离的协议。</w:t>
      </w:r>
      <w:bookmarkEnd w:id="45"/>
    </w:p>
    <w:p w14:paraId="36C0AE24">
      <w:pPr>
        <w:keepNext/>
        <w:keepLines/>
        <w:pageBreakBefore w:val="0"/>
        <w:kinsoku/>
        <w:wordWrap/>
        <w:overflowPunct/>
        <w:topLinePunct w:val="0"/>
        <w:bidi w:val="0"/>
        <w:adjustRightInd w:val="0"/>
        <w:snapToGrid w:val="0"/>
        <w:spacing w:line="360" w:lineRule="auto"/>
        <w:textAlignment w:val="auto"/>
        <w:outlineLvl w:val="0"/>
        <w:rPr>
          <w:rFonts w:hint="eastAsia" w:ascii="宋体" w:hAnsi="宋体" w:cs="宋体"/>
          <w:bCs/>
          <w:color w:val="auto"/>
          <w:sz w:val="24"/>
          <w:highlight w:val="none"/>
        </w:rPr>
      </w:pPr>
      <w:bookmarkStart w:id="46" w:name="_Toc351203488"/>
      <w:bookmarkStart w:id="47" w:name="_Toc38747037"/>
      <w:r>
        <w:rPr>
          <w:rFonts w:hint="eastAsia" w:ascii="宋体" w:hAnsi="宋体" w:cs="宋体"/>
          <w:bCs/>
          <w:color w:val="auto"/>
          <w:sz w:val="24"/>
          <w:highlight w:val="none"/>
        </w:rPr>
        <w:t>八、词语含义</w:t>
      </w:r>
      <w:bookmarkEnd w:id="46"/>
      <w:bookmarkEnd w:id="47"/>
    </w:p>
    <w:p w14:paraId="06FB1BC8">
      <w:pPr>
        <w:pageBreakBefore w:val="0"/>
        <w:kinsoku/>
        <w:wordWrap/>
        <w:overflowPunct/>
        <w:topLinePunct w:val="0"/>
        <w:bidi w:val="0"/>
        <w:adjustRightInd w:val="0"/>
        <w:snapToGrid w:val="0"/>
        <w:spacing w:line="360" w:lineRule="auto"/>
        <w:ind w:firstLine="480" w:firstLineChars="200"/>
        <w:textAlignment w:val="auto"/>
        <w:outlineLvl w:val="0"/>
        <w:rPr>
          <w:rFonts w:hint="eastAsia" w:ascii="宋体" w:hAnsi="宋体" w:cs="宋体"/>
          <w:bCs/>
          <w:color w:val="auto"/>
          <w:sz w:val="24"/>
          <w:highlight w:val="none"/>
        </w:rPr>
      </w:pPr>
      <w:bookmarkStart w:id="48" w:name="_Toc38747038"/>
      <w:r>
        <w:rPr>
          <w:rFonts w:hint="eastAsia" w:ascii="宋体" w:hAnsi="宋体" w:cs="宋体"/>
          <w:bCs/>
          <w:color w:val="auto"/>
          <w:sz w:val="24"/>
          <w:highlight w:val="none"/>
        </w:rPr>
        <w:t>本协议书中词语含义与第二部分通用合同条款中赋予的含义相同。</w:t>
      </w:r>
      <w:bookmarkEnd w:id="48"/>
    </w:p>
    <w:p w14:paraId="6FF940DC">
      <w:pPr>
        <w:keepNext/>
        <w:keepLines/>
        <w:pageBreakBefore w:val="0"/>
        <w:kinsoku/>
        <w:wordWrap/>
        <w:overflowPunct/>
        <w:topLinePunct w:val="0"/>
        <w:bidi w:val="0"/>
        <w:adjustRightInd w:val="0"/>
        <w:snapToGrid w:val="0"/>
        <w:spacing w:line="360" w:lineRule="auto"/>
        <w:textAlignment w:val="auto"/>
        <w:outlineLvl w:val="0"/>
        <w:rPr>
          <w:rFonts w:hint="eastAsia" w:ascii="宋体" w:hAnsi="宋体" w:cs="宋体"/>
          <w:b/>
          <w:color w:val="auto"/>
          <w:sz w:val="24"/>
          <w:highlight w:val="none"/>
        </w:rPr>
      </w:pPr>
      <w:bookmarkStart w:id="49" w:name="_Toc38747039"/>
      <w:bookmarkStart w:id="50" w:name="_Toc351203489"/>
      <w:r>
        <w:rPr>
          <w:rFonts w:hint="eastAsia" w:ascii="宋体" w:hAnsi="宋体" w:cs="宋体"/>
          <w:bCs/>
          <w:color w:val="auto"/>
          <w:sz w:val="24"/>
          <w:highlight w:val="none"/>
        </w:rPr>
        <w:t>九、签订时间</w:t>
      </w:r>
      <w:bookmarkEnd w:id="49"/>
      <w:bookmarkEnd w:id="50"/>
    </w:p>
    <w:p w14:paraId="06CF99BF">
      <w:pPr>
        <w:pageBreakBefore w:val="0"/>
        <w:kinsoku/>
        <w:wordWrap/>
        <w:overflowPunct/>
        <w:topLinePunct w:val="0"/>
        <w:bidi w:val="0"/>
        <w:adjustRightInd w:val="0"/>
        <w:snapToGrid w:val="0"/>
        <w:spacing w:line="360" w:lineRule="auto"/>
        <w:ind w:firstLine="480" w:firstLineChars="200"/>
        <w:textAlignment w:val="auto"/>
        <w:outlineLvl w:val="0"/>
        <w:rPr>
          <w:rFonts w:hint="eastAsia" w:ascii="宋体" w:hAnsi="宋体" w:cs="宋体"/>
          <w:bCs/>
          <w:color w:val="auto"/>
          <w:sz w:val="24"/>
          <w:highlight w:val="none"/>
        </w:rPr>
      </w:pPr>
      <w:bookmarkStart w:id="51" w:name="_Toc38747040"/>
      <w:r>
        <w:rPr>
          <w:rFonts w:hint="eastAsia" w:ascii="宋体" w:hAnsi="宋体" w:cs="宋体"/>
          <w:bCs/>
          <w:color w:val="auto"/>
          <w:sz w:val="24"/>
          <w:highlight w:val="none"/>
        </w:rPr>
        <w:t>本合同于</w:t>
      </w:r>
      <w:r>
        <w:rPr>
          <w:rFonts w:hint="eastAsia" w:ascii="宋体" w:hAnsi="宋体" w:cs="宋体"/>
          <w:bCs/>
          <w:color w:val="auto"/>
          <w:sz w:val="24"/>
          <w:highlight w:val="none"/>
          <w:u w:val="single"/>
          <w:lang w:val="en-US" w:eastAsia="zh-CN"/>
        </w:rPr>
        <w:t>2026</w:t>
      </w:r>
      <w:r>
        <w:rPr>
          <w:rFonts w:hint="eastAsia" w:ascii="宋体" w:hAnsi="宋体" w:cs="宋体"/>
          <w:bCs/>
          <w:color w:val="auto"/>
          <w:sz w:val="24"/>
          <w:highlight w:val="none"/>
        </w:rPr>
        <w:t>年</w:t>
      </w:r>
      <w:r>
        <w:rPr>
          <w:rFonts w:hint="eastAsia" w:ascii="宋体" w:hAnsi="宋体" w:cs="宋体"/>
          <w:bCs/>
          <w:color w:val="auto"/>
          <w:sz w:val="24"/>
          <w:highlight w:val="none"/>
          <w:u w:val="single"/>
          <w:lang w:val="en-US" w:eastAsia="zh-CN"/>
        </w:rPr>
        <w:t>08</w:t>
      </w:r>
      <w:r>
        <w:rPr>
          <w:rFonts w:hint="eastAsia" w:ascii="宋体" w:hAnsi="宋体" w:cs="宋体"/>
          <w:bCs/>
          <w:color w:val="auto"/>
          <w:sz w:val="24"/>
          <w:highlight w:val="none"/>
        </w:rPr>
        <w:t>月</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日签订。</w:t>
      </w:r>
      <w:bookmarkEnd w:id="51"/>
    </w:p>
    <w:p w14:paraId="4FCBBF45">
      <w:pPr>
        <w:keepNext/>
        <w:keepLines/>
        <w:pageBreakBefore w:val="0"/>
        <w:kinsoku/>
        <w:wordWrap/>
        <w:overflowPunct/>
        <w:topLinePunct w:val="0"/>
        <w:bidi w:val="0"/>
        <w:adjustRightInd w:val="0"/>
        <w:snapToGrid w:val="0"/>
        <w:spacing w:line="360" w:lineRule="auto"/>
        <w:textAlignment w:val="auto"/>
        <w:outlineLvl w:val="0"/>
        <w:rPr>
          <w:rFonts w:hint="eastAsia" w:ascii="宋体" w:hAnsi="宋体" w:cs="宋体"/>
          <w:b/>
          <w:color w:val="auto"/>
          <w:sz w:val="24"/>
          <w:highlight w:val="none"/>
        </w:rPr>
      </w:pPr>
      <w:bookmarkStart w:id="52" w:name="_Toc38747041"/>
      <w:bookmarkStart w:id="53" w:name="_Toc351203490"/>
      <w:r>
        <w:rPr>
          <w:rFonts w:hint="eastAsia" w:ascii="宋体" w:hAnsi="宋体" w:cs="宋体"/>
          <w:bCs/>
          <w:color w:val="auto"/>
          <w:sz w:val="24"/>
          <w:highlight w:val="none"/>
        </w:rPr>
        <w:t>十、签订地点</w:t>
      </w:r>
      <w:bookmarkEnd w:id="52"/>
      <w:bookmarkEnd w:id="53"/>
    </w:p>
    <w:p w14:paraId="5164A0FB">
      <w:pPr>
        <w:pageBreakBefore w:val="0"/>
        <w:kinsoku/>
        <w:wordWrap/>
        <w:overflowPunct/>
        <w:topLinePunct w:val="0"/>
        <w:bidi w:val="0"/>
        <w:adjustRightInd w:val="0"/>
        <w:snapToGrid w:val="0"/>
        <w:spacing w:line="360" w:lineRule="auto"/>
        <w:ind w:firstLine="480" w:firstLineChars="200"/>
        <w:textAlignment w:val="auto"/>
        <w:outlineLvl w:val="0"/>
        <w:rPr>
          <w:rFonts w:hint="eastAsia" w:ascii="宋体" w:hAnsi="宋体" w:cs="宋体"/>
          <w:bCs/>
          <w:color w:val="auto"/>
          <w:sz w:val="24"/>
          <w:highlight w:val="none"/>
        </w:rPr>
      </w:pPr>
      <w:bookmarkStart w:id="54" w:name="_Toc38747042"/>
      <w:r>
        <w:rPr>
          <w:rFonts w:hint="eastAsia" w:ascii="宋体" w:hAnsi="宋体" w:cs="宋体"/>
          <w:bCs/>
          <w:color w:val="auto"/>
          <w:sz w:val="24"/>
          <w:highlight w:val="none"/>
        </w:rPr>
        <w:t>本合同在</w:t>
      </w:r>
      <w:r>
        <w:rPr>
          <w:rFonts w:hint="eastAsia" w:ascii="宋体" w:hAnsi="宋体" w:cs="宋体"/>
          <w:bCs/>
          <w:color w:val="auto"/>
          <w:sz w:val="24"/>
          <w:highlight w:val="none"/>
          <w:u w:val="single"/>
          <w:lang w:eastAsia="zh-CN"/>
        </w:rPr>
        <w:t>无锡前丰农业有限公司</w:t>
      </w:r>
      <w:r>
        <w:rPr>
          <w:rFonts w:hint="eastAsia" w:ascii="宋体" w:hAnsi="宋体" w:cs="宋体"/>
          <w:bCs/>
          <w:color w:val="auto"/>
          <w:sz w:val="24"/>
          <w:highlight w:val="none"/>
        </w:rPr>
        <w:t>签订。</w:t>
      </w:r>
      <w:bookmarkEnd w:id="54"/>
    </w:p>
    <w:p w14:paraId="47304C73">
      <w:pPr>
        <w:keepNext/>
        <w:keepLines/>
        <w:pageBreakBefore w:val="0"/>
        <w:kinsoku/>
        <w:wordWrap/>
        <w:overflowPunct/>
        <w:topLinePunct w:val="0"/>
        <w:bidi w:val="0"/>
        <w:adjustRightInd w:val="0"/>
        <w:snapToGrid w:val="0"/>
        <w:spacing w:line="360" w:lineRule="auto"/>
        <w:textAlignment w:val="auto"/>
        <w:outlineLvl w:val="0"/>
        <w:rPr>
          <w:rFonts w:hint="eastAsia" w:ascii="宋体" w:hAnsi="宋体" w:cs="宋体"/>
          <w:b/>
          <w:color w:val="auto"/>
          <w:sz w:val="24"/>
          <w:highlight w:val="none"/>
        </w:rPr>
      </w:pPr>
      <w:bookmarkStart w:id="55" w:name="_Toc351203491"/>
      <w:bookmarkStart w:id="56" w:name="_Toc38747043"/>
      <w:r>
        <w:rPr>
          <w:rFonts w:hint="eastAsia" w:ascii="宋体" w:hAnsi="宋体" w:cs="宋体"/>
          <w:bCs/>
          <w:color w:val="auto"/>
          <w:sz w:val="24"/>
          <w:highlight w:val="none"/>
        </w:rPr>
        <w:t>十一、补充协议</w:t>
      </w:r>
      <w:bookmarkEnd w:id="55"/>
      <w:bookmarkEnd w:id="56"/>
    </w:p>
    <w:p w14:paraId="7D75BB2B">
      <w:pPr>
        <w:pageBreakBefore w:val="0"/>
        <w:kinsoku/>
        <w:wordWrap/>
        <w:overflowPunct/>
        <w:topLinePunct w:val="0"/>
        <w:bidi w:val="0"/>
        <w:adjustRightInd w:val="0"/>
        <w:snapToGrid w:val="0"/>
        <w:spacing w:line="360" w:lineRule="auto"/>
        <w:ind w:firstLine="480" w:firstLineChars="200"/>
        <w:textAlignment w:val="auto"/>
        <w:outlineLvl w:val="0"/>
        <w:rPr>
          <w:rFonts w:hint="eastAsia" w:ascii="宋体" w:hAnsi="宋体" w:cs="宋体"/>
          <w:b/>
          <w:bCs/>
          <w:color w:val="auto"/>
          <w:sz w:val="24"/>
          <w:highlight w:val="none"/>
        </w:rPr>
      </w:pPr>
      <w:bookmarkStart w:id="57" w:name="_Toc38747044"/>
      <w:r>
        <w:rPr>
          <w:rFonts w:hint="eastAsia" w:ascii="宋体" w:hAnsi="宋体" w:cs="宋体"/>
          <w:bCs/>
          <w:color w:val="auto"/>
          <w:sz w:val="24"/>
          <w:highlight w:val="none"/>
        </w:rPr>
        <w:t>合同未尽事宜，合同当事人另行签订补充协议，补充协议是合同的组成部分。</w:t>
      </w:r>
      <w:bookmarkEnd w:id="57"/>
    </w:p>
    <w:p w14:paraId="3B1B697F">
      <w:pPr>
        <w:keepNext/>
        <w:keepLines/>
        <w:pageBreakBefore w:val="0"/>
        <w:kinsoku/>
        <w:wordWrap/>
        <w:overflowPunct/>
        <w:topLinePunct w:val="0"/>
        <w:bidi w:val="0"/>
        <w:adjustRightInd w:val="0"/>
        <w:snapToGrid w:val="0"/>
        <w:spacing w:line="360" w:lineRule="auto"/>
        <w:textAlignment w:val="auto"/>
        <w:outlineLvl w:val="0"/>
        <w:rPr>
          <w:rFonts w:hint="eastAsia" w:ascii="宋体" w:hAnsi="宋体" w:cs="宋体"/>
          <w:b/>
          <w:color w:val="auto"/>
          <w:sz w:val="24"/>
          <w:highlight w:val="none"/>
        </w:rPr>
      </w:pPr>
      <w:bookmarkStart w:id="58" w:name="_Toc38747045"/>
      <w:bookmarkStart w:id="59" w:name="_Toc351203492"/>
      <w:r>
        <w:rPr>
          <w:rFonts w:hint="eastAsia" w:ascii="宋体" w:hAnsi="宋体" w:cs="宋体"/>
          <w:bCs/>
          <w:color w:val="auto"/>
          <w:sz w:val="24"/>
          <w:highlight w:val="none"/>
        </w:rPr>
        <w:t>十二、合同生效</w:t>
      </w:r>
      <w:bookmarkEnd w:id="58"/>
      <w:bookmarkEnd w:id="59"/>
    </w:p>
    <w:p w14:paraId="718F50B1">
      <w:pPr>
        <w:pageBreakBefore w:val="0"/>
        <w:kinsoku/>
        <w:wordWrap/>
        <w:overflowPunct/>
        <w:topLinePunct w:val="0"/>
        <w:bidi w:val="0"/>
        <w:adjustRightInd w:val="0"/>
        <w:snapToGrid w:val="0"/>
        <w:spacing w:line="360" w:lineRule="auto"/>
        <w:ind w:firstLine="480" w:firstLineChars="200"/>
        <w:textAlignment w:val="auto"/>
        <w:outlineLvl w:val="0"/>
        <w:rPr>
          <w:rFonts w:hint="eastAsia" w:ascii="宋体" w:hAnsi="宋体" w:cs="宋体"/>
          <w:bCs/>
          <w:color w:val="auto"/>
          <w:sz w:val="24"/>
          <w:highlight w:val="none"/>
        </w:rPr>
      </w:pPr>
      <w:bookmarkStart w:id="60" w:name="_Toc38747046"/>
      <w:r>
        <w:rPr>
          <w:rFonts w:hint="eastAsia" w:ascii="宋体" w:hAnsi="宋体" w:cs="宋体"/>
          <w:bCs/>
          <w:color w:val="auto"/>
          <w:sz w:val="24"/>
          <w:highlight w:val="none"/>
        </w:rPr>
        <w:t>本合同自</w:t>
      </w:r>
      <w:r>
        <w:rPr>
          <w:rFonts w:hint="eastAsia" w:ascii="宋体" w:hAnsi="宋体" w:cs="宋体"/>
          <w:bCs/>
          <w:color w:val="auto"/>
          <w:sz w:val="24"/>
          <w:highlight w:val="none"/>
          <w:u w:val="single"/>
        </w:rPr>
        <w:t xml:space="preserve"> 甲乙双方签字、盖章后 </w:t>
      </w:r>
      <w:r>
        <w:rPr>
          <w:rFonts w:hint="eastAsia" w:ascii="宋体" w:hAnsi="宋体" w:cs="宋体"/>
          <w:bCs/>
          <w:color w:val="auto"/>
          <w:sz w:val="24"/>
          <w:highlight w:val="none"/>
        </w:rPr>
        <w:t>生效。</w:t>
      </w:r>
      <w:bookmarkEnd w:id="60"/>
    </w:p>
    <w:p w14:paraId="307188DA">
      <w:pPr>
        <w:keepNext/>
        <w:keepLines/>
        <w:pageBreakBefore w:val="0"/>
        <w:kinsoku/>
        <w:wordWrap/>
        <w:overflowPunct/>
        <w:topLinePunct w:val="0"/>
        <w:bidi w:val="0"/>
        <w:adjustRightInd w:val="0"/>
        <w:snapToGrid w:val="0"/>
        <w:spacing w:line="360" w:lineRule="auto"/>
        <w:textAlignment w:val="auto"/>
        <w:outlineLvl w:val="0"/>
        <w:rPr>
          <w:rFonts w:hint="eastAsia" w:ascii="宋体" w:hAnsi="宋体" w:cs="宋体"/>
          <w:b/>
          <w:color w:val="auto"/>
          <w:sz w:val="24"/>
          <w:highlight w:val="none"/>
        </w:rPr>
      </w:pPr>
      <w:bookmarkStart w:id="61" w:name="_Toc38747047"/>
      <w:bookmarkStart w:id="62" w:name="_Toc351203493"/>
      <w:r>
        <w:rPr>
          <w:rFonts w:hint="eastAsia" w:ascii="宋体" w:hAnsi="宋体" w:cs="宋体"/>
          <w:bCs/>
          <w:color w:val="auto"/>
          <w:sz w:val="24"/>
          <w:highlight w:val="none"/>
        </w:rPr>
        <w:t>十三、合同份数</w:t>
      </w:r>
      <w:bookmarkEnd w:id="61"/>
      <w:bookmarkEnd w:id="62"/>
    </w:p>
    <w:p w14:paraId="59A67439">
      <w:pPr>
        <w:pageBreakBefore w:val="0"/>
        <w:kinsoku/>
        <w:wordWrap/>
        <w:overflowPunct/>
        <w:topLinePunct w:val="0"/>
        <w:bidi w:val="0"/>
        <w:adjustRightInd w:val="0"/>
        <w:snapToGrid w:val="0"/>
        <w:spacing w:line="360" w:lineRule="auto"/>
        <w:ind w:firstLine="480" w:firstLineChars="200"/>
        <w:textAlignment w:val="auto"/>
        <w:outlineLvl w:val="0"/>
        <w:rPr>
          <w:rFonts w:hint="eastAsia" w:ascii="宋体" w:hAnsi="宋体" w:cs="宋体"/>
          <w:bCs/>
          <w:color w:val="auto"/>
          <w:sz w:val="24"/>
          <w:highlight w:val="none"/>
        </w:rPr>
      </w:pPr>
      <w:bookmarkStart w:id="63" w:name="_Toc38747048"/>
      <w:r>
        <w:rPr>
          <w:rFonts w:hint="eastAsia" w:ascii="宋体" w:hAnsi="宋体" w:cs="宋体"/>
          <w:bCs/>
          <w:color w:val="auto"/>
          <w:sz w:val="24"/>
          <w:highlight w:val="none"/>
        </w:rPr>
        <w:t>本合同一式</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陆</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份，均具有同等法律效力，发包人执</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叁</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份，承包人执</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叁</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份。</w:t>
      </w:r>
      <w:bookmarkEnd w:id="63"/>
    </w:p>
    <w:p w14:paraId="710B8249">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p>
    <w:p w14:paraId="1A490BB0">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p>
    <w:p w14:paraId="098047A4">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64" w:name="_Toc38747049"/>
      <w:r>
        <w:rPr>
          <w:rFonts w:hint="eastAsia" w:ascii="宋体" w:hAnsi="宋体" w:cs="宋体"/>
          <w:color w:val="auto"/>
          <w:sz w:val="24"/>
          <w:highlight w:val="none"/>
        </w:rPr>
        <w:t>发包人：  (公章)                                 承包人：  (公章)</w:t>
      </w:r>
      <w:bookmarkEnd w:id="64"/>
    </w:p>
    <w:p w14:paraId="3F468501">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p>
    <w:p w14:paraId="7FE9E088">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65" w:name="_Toc38747050"/>
      <w:r>
        <w:rPr>
          <w:rFonts w:hint="eastAsia" w:ascii="宋体" w:hAnsi="宋体" w:cs="宋体"/>
          <w:color w:val="auto"/>
          <w:sz w:val="24"/>
          <w:highlight w:val="none"/>
        </w:rPr>
        <w:t>法定代表人或其委托代理人：                       法定代表人或其委托代理人：</w:t>
      </w:r>
      <w:bookmarkEnd w:id="65"/>
    </w:p>
    <w:p w14:paraId="31F80240">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66" w:name="_Toc38747051"/>
      <w:r>
        <w:rPr>
          <w:rFonts w:hint="eastAsia" w:ascii="宋体" w:hAnsi="宋体" w:cs="宋体"/>
          <w:color w:val="auto"/>
          <w:sz w:val="24"/>
          <w:highlight w:val="none"/>
        </w:rPr>
        <w:t>（签字）                                         （签字）</w:t>
      </w:r>
      <w:bookmarkEnd w:id="66"/>
    </w:p>
    <w:p w14:paraId="1496CFD5">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u w:val="single"/>
        </w:rPr>
      </w:pPr>
    </w:p>
    <w:p w14:paraId="2F04DB9C">
      <w:pPr>
        <w:pageBreakBefore w:val="0"/>
        <w:tabs>
          <w:tab w:val="left" w:pos="4410"/>
        </w:tabs>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67" w:name="_Toc38747052"/>
      <w:r>
        <w:rPr>
          <w:rFonts w:hint="eastAsia" w:ascii="宋体" w:hAnsi="宋体" w:cs="宋体"/>
          <w:color w:val="auto"/>
          <w:sz w:val="24"/>
          <w:highlight w:val="none"/>
        </w:rPr>
        <w:t>组织机构代码：</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 xml:space="preserve">                      组织机构代码：</w:t>
      </w:r>
      <w:r>
        <w:rPr>
          <w:rFonts w:hint="eastAsia" w:ascii="宋体" w:hAnsi="宋体" w:cs="宋体"/>
          <w:color w:val="auto"/>
          <w:sz w:val="24"/>
          <w:highlight w:val="none"/>
          <w:u w:val="single"/>
        </w:rPr>
        <w:t>  </w:t>
      </w:r>
      <w:bookmarkEnd w:id="67"/>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107B0A16">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68" w:name="_Toc38747053"/>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 xml:space="preserve">                      地  址：</w:t>
      </w:r>
      <w:r>
        <w:rPr>
          <w:rFonts w:hint="eastAsia" w:ascii="宋体" w:hAnsi="宋体" w:cs="宋体"/>
          <w:color w:val="auto"/>
          <w:sz w:val="24"/>
          <w:highlight w:val="none"/>
          <w:u w:val="single"/>
        </w:rPr>
        <w:t>  </w:t>
      </w:r>
      <w:bookmarkEnd w:id="68"/>
      <w:r>
        <w:rPr>
          <w:rFonts w:hint="eastAsia" w:ascii="宋体" w:hAnsi="宋体" w:cs="宋体"/>
          <w:color w:val="auto"/>
          <w:sz w:val="24"/>
          <w:highlight w:val="none"/>
          <w:u w:val="single"/>
        </w:rPr>
        <w:t xml:space="preserve">       </w:t>
      </w:r>
    </w:p>
    <w:p w14:paraId="70F026B0">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69" w:name="_Toc38747054"/>
      <w:r>
        <w:rPr>
          <w:rFonts w:hint="eastAsia" w:ascii="宋体" w:hAnsi="宋体" w:cs="宋体"/>
          <w:color w:val="auto"/>
          <w:sz w:val="24"/>
          <w:highlight w:val="none"/>
        </w:rPr>
        <w:t>邮政编码：</w:t>
      </w:r>
      <w:r>
        <w:rPr>
          <w:rFonts w:hint="eastAsia" w:ascii="宋体" w:hAnsi="宋体" w:cs="宋体"/>
          <w:color w:val="auto"/>
          <w:sz w:val="24"/>
          <w:highlight w:val="none"/>
          <w:u w:val="single"/>
        </w:rPr>
        <w:t xml:space="preserve">      </w:t>
      </w:r>
      <w:r>
        <w:rPr>
          <w:rFonts w:hint="eastAsia" w:ascii="宋体" w:hAnsi="宋体" w:cs="宋体"/>
          <w:color w:val="auto"/>
          <w:sz w:val="24"/>
          <w:highlight w:val="none"/>
        </w:rPr>
        <w:t xml:space="preserve">                     邮政编码：</w:t>
      </w:r>
      <w:r>
        <w:rPr>
          <w:rFonts w:hint="eastAsia" w:ascii="宋体" w:hAnsi="宋体" w:cs="宋体"/>
          <w:color w:val="auto"/>
          <w:sz w:val="24"/>
          <w:highlight w:val="none"/>
          <w:u w:val="single"/>
        </w:rPr>
        <w:t></w:t>
      </w:r>
      <w:bookmarkEnd w:id="69"/>
      <w:r>
        <w:rPr>
          <w:rFonts w:hint="eastAsia" w:ascii="宋体" w:hAnsi="宋体" w:cs="宋体"/>
          <w:color w:val="auto"/>
          <w:sz w:val="24"/>
          <w:highlight w:val="none"/>
          <w:u w:val="single"/>
        </w:rPr>
        <w:t xml:space="preserve">     </w:t>
      </w:r>
    </w:p>
    <w:p w14:paraId="5B53C9B6">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70" w:name="_Toc38747055"/>
      <w:r>
        <w:rPr>
          <w:rFonts w:hint="eastAsia" w:ascii="宋体" w:hAnsi="宋体" w:cs="宋体"/>
          <w:color w:val="auto"/>
          <w:sz w:val="24"/>
          <w:highlight w:val="none"/>
        </w:rPr>
        <w:t>法定代表人：</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 xml:space="preserve">                      法定代表人：</w:t>
      </w:r>
      <w:r>
        <w:rPr>
          <w:rFonts w:hint="eastAsia" w:ascii="宋体" w:hAnsi="宋体" w:cs="宋体"/>
          <w:color w:val="auto"/>
          <w:sz w:val="24"/>
          <w:highlight w:val="none"/>
          <w:u w:val="single"/>
        </w:rPr>
        <w:t>      </w:t>
      </w:r>
      <w:bookmarkEnd w:id="70"/>
      <w:r>
        <w:rPr>
          <w:rFonts w:hint="eastAsia" w:ascii="宋体" w:hAnsi="宋体" w:cs="宋体"/>
          <w:color w:val="auto"/>
          <w:sz w:val="24"/>
          <w:highlight w:val="none"/>
          <w:u w:val="single"/>
        </w:rPr>
        <w:t xml:space="preserve">         </w:t>
      </w:r>
    </w:p>
    <w:p w14:paraId="08D2D1FF">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71" w:name="_Toc38747056"/>
      <w:r>
        <w:rPr>
          <w:rFonts w:hint="eastAsia" w:ascii="宋体" w:hAnsi="宋体" w:cs="宋体"/>
          <w:color w:val="auto"/>
          <w:sz w:val="24"/>
          <w:highlight w:val="none"/>
        </w:rPr>
        <w:t>委托代理人：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委托代理人：</w:t>
      </w:r>
      <w:r>
        <w:rPr>
          <w:rFonts w:hint="eastAsia" w:ascii="宋体" w:hAnsi="宋体" w:cs="宋体"/>
          <w:color w:val="auto"/>
          <w:sz w:val="24"/>
          <w:highlight w:val="none"/>
          <w:u w:val="single"/>
        </w:rPr>
        <w:t></w:t>
      </w:r>
      <w:bookmarkEnd w:id="71"/>
      <w:r>
        <w:rPr>
          <w:rFonts w:hint="eastAsia" w:ascii="宋体" w:hAnsi="宋体" w:cs="宋体"/>
          <w:color w:val="auto"/>
          <w:sz w:val="24"/>
          <w:highlight w:val="none"/>
          <w:u w:val="single"/>
        </w:rPr>
        <w:t xml:space="preserve">               </w:t>
      </w:r>
    </w:p>
    <w:p w14:paraId="3441AD5B">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72" w:name="_Toc38747057"/>
      <w:r>
        <w:rPr>
          <w:rFonts w:hint="eastAsia" w:ascii="宋体" w:hAnsi="宋体" w:cs="宋体"/>
          <w:color w:val="auto"/>
          <w:sz w:val="24"/>
          <w:highlight w:val="none"/>
        </w:rPr>
        <w:t>电  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电  话：</w:t>
      </w:r>
      <w:r>
        <w:rPr>
          <w:rFonts w:hint="eastAsia" w:ascii="宋体" w:hAnsi="宋体" w:cs="宋体"/>
          <w:color w:val="auto"/>
          <w:sz w:val="24"/>
          <w:highlight w:val="none"/>
          <w:u w:val="single"/>
        </w:rPr>
        <w:t></w:t>
      </w:r>
      <w:bookmarkEnd w:id="72"/>
      <w:r>
        <w:rPr>
          <w:rFonts w:hint="eastAsia" w:ascii="宋体" w:hAnsi="宋体" w:cs="宋体"/>
          <w:color w:val="auto"/>
          <w:sz w:val="24"/>
          <w:highlight w:val="none"/>
          <w:u w:val="single"/>
        </w:rPr>
        <w:t xml:space="preserve">       </w:t>
      </w:r>
    </w:p>
    <w:p w14:paraId="768B2916">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73" w:name="_Toc38747058"/>
      <w:r>
        <w:rPr>
          <w:rFonts w:hint="eastAsia" w:ascii="宋体" w:hAnsi="宋体" w:cs="宋体"/>
          <w:color w:val="auto"/>
          <w:sz w:val="24"/>
          <w:highlight w:val="none"/>
        </w:rPr>
        <w:t>传  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传  真：</w:t>
      </w:r>
      <w:r>
        <w:rPr>
          <w:rFonts w:hint="eastAsia" w:ascii="宋体" w:hAnsi="宋体" w:cs="宋体"/>
          <w:color w:val="auto"/>
          <w:sz w:val="24"/>
          <w:highlight w:val="none"/>
          <w:u w:val="single"/>
        </w:rPr>
        <w:t>  </w:t>
      </w:r>
      <w:bookmarkEnd w:id="73"/>
      <w:r>
        <w:rPr>
          <w:rFonts w:hint="eastAsia" w:ascii="宋体" w:hAnsi="宋体" w:cs="宋体"/>
          <w:color w:val="auto"/>
          <w:sz w:val="24"/>
          <w:highlight w:val="none"/>
          <w:u w:val="single"/>
        </w:rPr>
        <w:t xml:space="preserve">     </w:t>
      </w:r>
    </w:p>
    <w:p w14:paraId="1E14AC9F">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74" w:name="_Toc38747059"/>
      <w:r>
        <w:rPr>
          <w:rFonts w:hint="eastAsia" w:ascii="宋体" w:hAnsi="宋体" w:cs="宋体"/>
          <w:color w:val="auto"/>
          <w:sz w:val="24"/>
          <w:highlight w:val="none"/>
        </w:rPr>
        <w:t>电子信箱：</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电子信箱：</w:t>
      </w:r>
      <w:r>
        <w:rPr>
          <w:rFonts w:hint="eastAsia" w:ascii="宋体" w:hAnsi="宋体" w:cs="宋体"/>
          <w:color w:val="auto"/>
          <w:sz w:val="24"/>
          <w:highlight w:val="none"/>
          <w:u w:val="single"/>
        </w:rPr>
        <w:t>  </w:t>
      </w:r>
      <w:bookmarkEnd w:id="74"/>
      <w:r>
        <w:rPr>
          <w:rFonts w:hint="eastAsia" w:ascii="宋体" w:hAnsi="宋体" w:cs="宋体"/>
          <w:color w:val="auto"/>
          <w:sz w:val="24"/>
          <w:highlight w:val="none"/>
          <w:u w:val="single"/>
        </w:rPr>
        <w:t xml:space="preserve">   </w:t>
      </w:r>
    </w:p>
    <w:p w14:paraId="5C322321">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75" w:name="_Toc38747060"/>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开户银行：</w:t>
      </w:r>
      <w:r>
        <w:rPr>
          <w:rFonts w:hint="eastAsia" w:ascii="宋体" w:hAnsi="宋体" w:cs="宋体"/>
          <w:color w:val="auto"/>
          <w:sz w:val="24"/>
          <w:highlight w:val="none"/>
          <w:u w:val="single"/>
        </w:rPr>
        <w:t></w:t>
      </w:r>
      <w:bookmarkEnd w:id="75"/>
      <w:r>
        <w:rPr>
          <w:rFonts w:hint="eastAsia" w:ascii="宋体" w:hAnsi="宋体" w:cs="宋体"/>
          <w:color w:val="auto"/>
          <w:sz w:val="24"/>
          <w:highlight w:val="none"/>
          <w:u w:val="single"/>
        </w:rPr>
        <w:t xml:space="preserve">     </w:t>
      </w:r>
    </w:p>
    <w:p w14:paraId="42D6E375">
      <w:pPr>
        <w:pageBreakBefore w:val="0"/>
        <w:kinsoku/>
        <w:wordWrap/>
        <w:overflowPunct/>
        <w:topLinePunct w:val="0"/>
        <w:bidi w:val="0"/>
        <w:adjustRightInd w:val="0"/>
        <w:snapToGrid w:val="0"/>
        <w:spacing w:line="360" w:lineRule="auto"/>
        <w:textAlignment w:val="auto"/>
        <w:outlineLvl w:val="0"/>
        <w:rPr>
          <w:rFonts w:hint="eastAsia" w:ascii="宋体" w:hAnsi="宋体" w:cs="宋体"/>
          <w:color w:val="auto"/>
          <w:sz w:val="24"/>
          <w:highlight w:val="none"/>
        </w:rPr>
      </w:pPr>
      <w:bookmarkStart w:id="76" w:name="_Toc38747061"/>
      <w:r>
        <w:rPr>
          <w:rFonts w:hint="eastAsia" w:ascii="宋体" w:hAnsi="宋体" w:cs="宋体"/>
          <w:color w:val="auto"/>
          <w:sz w:val="24"/>
          <w:highlight w:val="none"/>
        </w:rPr>
        <w:t>账  号：</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 xml:space="preserve">                      账  号：</w:t>
      </w:r>
      <w:r>
        <w:rPr>
          <w:rFonts w:hint="eastAsia" w:ascii="宋体" w:hAnsi="宋体" w:cs="宋体"/>
          <w:color w:val="auto"/>
          <w:sz w:val="24"/>
          <w:highlight w:val="none"/>
          <w:u w:val="single"/>
        </w:rPr>
        <w:t></w:t>
      </w:r>
      <w:bookmarkEnd w:id="76"/>
      <w:r>
        <w:rPr>
          <w:rFonts w:hint="eastAsia" w:ascii="宋体" w:hAnsi="宋体" w:cs="宋体"/>
          <w:color w:val="auto"/>
          <w:sz w:val="24"/>
          <w:highlight w:val="none"/>
          <w:u w:val="single"/>
        </w:rPr>
        <w:t xml:space="preserve">       </w:t>
      </w:r>
    </w:p>
    <w:p w14:paraId="2BE3D4D9">
      <w:pPr>
        <w:keepNext/>
        <w:keepLines/>
        <w:pageBreakBefore w:val="0"/>
        <w:kinsoku/>
        <w:wordWrap/>
        <w:overflowPunct/>
        <w:topLinePunct w:val="0"/>
        <w:bidi w:val="0"/>
        <w:spacing w:line="360" w:lineRule="auto"/>
        <w:jc w:val="center"/>
        <w:textAlignment w:val="auto"/>
        <w:outlineLvl w:val="0"/>
        <w:rPr>
          <w:rFonts w:ascii="宋体" w:hAnsi="宋体"/>
          <w:b/>
          <w:bCs/>
          <w:color w:val="auto"/>
          <w:sz w:val="32"/>
          <w:szCs w:val="44"/>
          <w:highlight w:val="none"/>
          <w:lang w:val="zh-CN"/>
        </w:rPr>
      </w:pPr>
      <w:bookmarkStart w:id="77" w:name="_Toc498006745"/>
      <w:bookmarkStart w:id="78" w:name="_Toc38747062"/>
      <w:r>
        <w:rPr>
          <w:rFonts w:ascii="宋体" w:hAnsi="宋体"/>
          <w:b/>
          <w:bCs/>
          <w:color w:val="auto"/>
          <w:sz w:val="32"/>
          <w:szCs w:val="44"/>
          <w:highlight w:val="none"/>
          <w:lang w:val="zh-CN"/>
        </w:rPr>
        <w:br w:type="page"/>
      </w:r>
      <w:r>
        <w:rPr>
          <w:rFonts w:hint="eastAsia" w:ascii="宋体" w:hAnsi="宋体"/>
          <w:b/>
          <w:bCs/>
          <w:color w:val="auto"/>
          <w:sz w:val="32"/>
          <w:szCs w:val="44"/>
          <w:highlight w:val="none"/>
          <w:lang w:val="zh-CN"/>
        </w:rPr>
        <w:t>第二部分 通用合同条款</w:t>
      </w:r>
      <w:bookmarkEnd w:id="77"/>
      <w:bookmarkEnd w:id="78"/>
    </w:p>
    <w:p w14:paraId="29B03123">
      <w:pPr>
        <w:spacing w:line="360" w:lineRule="auto"/>
        <w:jc w:val="center"/>
        <w:outlineLvl w:val="0"/>
        <w:rPr>
          <w:rFonts w:ascii="宋体" w:hAnsi="宋体" w:cs="宋体"/>
          <w:color w:val="auto"/>
          <w:sz w:val="24"/>
          <w:highlight w:val="none"/>
        </w:rPr>
      </w:pPr>
      <w:bookmarkStart w:id="79" w:name="_Toc38747063"/>
      <w:r>
        <w:rPr>
          <w:rFonts w:hint="eastAsia" w:ascii="宋体" w:hAnsi="宋体"/>
          <w:b/>
          <w:color w:val="auto"/>
          <w:kern w:val="0"/>
          <w:sz w:val="24"/>
          <w:highlight w:val="none"/>
        </w:rPr>
        <w:t>采用《</w:t>
      </w:r>
      <w:r>
        <w:rPr>
          <w:rFonts w:ascii="宋体" w:hAnsi="宋体"/>
          <w:b/>
          <w:color w:val="auto"/>
          <w:kern w:val="0"/>
          <w:sz w:val="24"/>
          <w:highlight w:val="none"/>
        </w:rPr>
        <w:t>建设工程施工合同（示范文本）</w:t>
      </w:r>
      <w:r>
        <w:rPr>
          <w:rFonts w:hint="eastAsia" w:ascii="宋体" w:hAnsi="宋体"/>
          <w:b/>
          <w:color w:val="auto"/>
          <w:kern w:val="0"/>
          <w:sz w:val="24"/>
          <w:highlight w:val="none"/>
        </w:rPr>
        <w:t>》</w:t>
      </w:r>
      <w:r>
        <w:rPr>
          <w:rFonts w:ascii="宋体" w:hAnsi="宋体"/>
          <w:b/>
          <w:color w:val="auto"/>
          <w:kern w:val="0"/>
          <w:sz w:val="24"/>
          <w:highlight w:val="none"/>
        </w:rPr>
        <w:t>（GF—2017—</w:t>
      </w:r>
      <w:r>
        <w:rPr>
          <w:rFonts w:hint="eastAsia" w:ascii="宋体" w:hAnsi="宋体"/>
          <w:b/>
          <w:color w:val="auto"/>
          <w:kern w:val="0"/>
          <w:sz w:val="24"/>
          <w:highlight w:val="none"/>
        </w:rPr>
        <w:t>0201）。</w:t>
      </w:r>
      <w:bookmarkEnd w:id="79"/>
    </w:p>
    <w:p w14:paraId="20AB6450">
      <w:pPr>
        <w:keepNext/>
        <w:keepLines/>
        <w:spacing w:line="360" w:lineRule="auto"/>
        <w:jc w:val="center"/>
        <w:outlineLvl w:val="0"/>
        <w:rPr>
          <w:rFonts w:ascii="宋体" w:hAnsi="宋体"/>
          <w:b/>
          <w:bCs/>
          <w:color w:val="auto"/>
          <w:sz w:val="32"/>
          <w:szCs w:val="44"/>
          <w:highlight w:val="none"/>
          <w:lang w:val="zh-CN"/>
        </w:rPr>
      </w:pPr>
      <w:bookmarkStart w:id="80" w:name="_Toc498006746"/>
      <w:bookmarkStart w:id="81" w:name="_Toc38747064"/>
      <w:r>
        <w:rPr>
          <w:rFonts w:hint="eastAsia" w:ascii="宋体" w:hAnsi="宋体"/>
          <w:b/>
          <w:bCs/>
          <w:color w:val="auto"/>
          <w:sz w:val="32"/>
          <w:szCs w:val="44"/>
          <w:highlight w:val="none"/>
          <w:lang w:val="zh-CN"/>
        </w:rPr>
        <w:t>第三部分 专用合同条款</w:t>
      </w:r>
      <w:bookmarkEnd w:id="80"/>
      <w:bookmarkEnd w:id="81"/>
    </w:p>
    <w:p w14:paraId="19D05AEF">
      <w:pPr>
        <w:keepNext/>
        <w:keepLines/>
        <w:adjustRightInd w:val="0"/>
        <w:snapToGrid w:val="0"/>
        <w:spacing w:line="360" w:lineRule="auto"/>
        <w:jc w:val="center"/>
        <w:outlineLvl w:val="0"/>
        <w:rPr>
          <w:rFonts w:hint="eastAsia" w:ascii="宋体" w:hAnsi="宋体" w:cs="宋体"/>
          <w:bCs/>
          <w:color w:val="auto"/>
          <w:sz w:val="24"/>
          <w:highlight w:val="none"/>
        </w:rPr>
      </w:pPr>
      <w:bookmarkStart w:id="82" w:name="_Toc38747065"/>
      <w:bookmarkStart w:id="83" w:name="_Toc351203633"/>
      <w:r>
        <w:rPr>
          <w:rFonts w:hint="eastAsia" w:ascii="宋体" w:hAnsi="宋体" w:cs="宋体"/>
          <w:bCs/>
          <w:color w:val="auto"/>
          <w:sz w:val="24"/>
          <w:highlight w:val="none"/>
        </w:rPr>
        <w:t>1</w:t>
      </w:r>
      <w:bookmarkStart w:id="84" w:name="_Toc296346657"/>
      <w:bookmarkStart w:id="85" w:name="_Toc296891196"/>
      <w:bookmarkStart w:id="86" w:name="_Toc296944495"/>
      <w:bookmarkStart w:id="87" w:name="_Toc297048342"/>
      <w:bookmarkStart w:id="88" w:name="_Toc296890984"/>
      <w:bookmarkStart w:id="89" w:name="_Toc296347155"/>
      <w:bookmarkStart w:id="90" w:name="_Toc297120456"/>
      <w:bookmarkStart w:id="91" w:name="_Toc292559361"/>
      <w:bookmarkStart w:id="92" w:name="_Toc296503156"/>
      <w:bookmarkStart w:id="93" w:name="_Toc292559866"/>
      <w:r>
        <w:rPr>
          <w:rFonts w:hint="eastAsia" w:ascii="宋体" w:hAnsi="宋体" w:cs="宋体"/>
          <w:bCs/>
          <w:color w:val="auto"/>
          <w:sz w:val="24"/>
          <w:highlight w:val="none"/>
        </w:rPr>
        <w:t>. 一般约定</w:t>
      </w:r>
      <w:bookmarkEnd w:id="82"/>
      <w:bookmarkEnd w:id="83"/>
    </w:p>
    <w:bookmarkEnd w:id="84"/>
    <w:bookmarkEnd w:id="85"/>
    <w:bookmarkEnd w:id="86"/>
    <w:bookmarkEnd w:id="87"/>
    <w:bookmarkEnd w:id="88"/>
    <w:bookmarkEnd w:id="89"/>
    <w:bookmarkEnd w:id="90"/>
    <w:bookmarkEnd w:id="91"/>
    <w:bookmarkEnd w:id="92"/>
    <w:bookmarkEnd w:id="93"/>
    <w:p w14:paraId="673A53E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94" w:name="_Toc38747066"/>
      <w:r>
        <w:rPr>
          <w:rFonts w:hint="eastAsia" w:ascii="宋体" w:hAnsi="宋体" w:cs="宋体"/>
          <w:color w:val="auto"/>
          <w:sz w:val="24"/>
          <w:highlight w:val="none"/>
        </w:rPr>
        <w:t>1.1 词语定义</w:t>
      </w:r>
      <w:bookmarkEnd w:id="94"/>
    </w:p>
    <w:p w14:paraId="6ECBC99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95" w:name="_Toc38747067"/>
      <w:r>
        <w:rPr>
          <w:rFonts w:hint="eastAsia" w:ascii="宋体" w:hAnsi="宋体" w:cs="宋体"/>
          <w:color w:val="auto"/>
          <w:sz w:val="24"/>
          <w:highlight w:val="none"/>
        </w:rPr>
        <w:t>1.1.1合同</w:t>
      </w:r>
      <w:bookmarkEnd w:id="95"/>
    </w:p>
    <w:p w14:paraId="43B7DC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96" w:name="_Toc38747068"/>
      <w:r>
        <w:rPr>
          <w:rFonts w:hint="eastAsia" w:ascii="宋体" w:hAnsi="宋体" w:cs="宋体"/>
          <w:color w:val="auto"/>
          <w:sz w:val="24"/>
          <w:highlight w:val="none"/>
        </w:rPr>
        <w:t>1.1.1.10其他合同文件包括：</w:t>
      </w:r>
      <w:r>
        <w:rPr>
          <w:rFonts w:hint="eastAsia" w:ascii="宋体" w:hAnsi="宋体" w:cs="宋体"/>
          <w:color w:val="auto"/>
          <w:sz w:val="24"/>
          <w:highlight w:val="none"/>
          <w:u w:val="single"/>
        </w:rPr>
        <w:t>(1)施工过程中签订的补充协议、（2）本合同协议书、 (3) 中标通知书、(4)招标文件、（5）投标书及其附件、(6) 本合同专用条款 、（7）本合同通用条款、(8) 标准、规范及有关技术文件、(9) 图纸。</w:t>
      </w:r>
      <w:bookmarkEnd w:id="96"/>
    </w:p>
    <w:p w14:paraId="31AB5D6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97" w:name="_Toc38747069"/>
      <w:r>
        <w:rPr>
          <w:rFonts w:hint="eastAsia" w:ascii="宋体" w:hAnsi="宋体" w:cs="宋体"/>
          <w:color w:val="auto"/>
          <w:sz w:val="24"/>
          <w:highlight w:val="none"/>
        </w:rPr>
        <w:t>1.1.2 合同当事人及其他相关方</w:t>
      </w:r>
      <w:bookmarkEnd w:id="97"/>
    </w:p>
    <w:p w14:paraId="33B661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98" w:name="_Toc38747070"/>
      <w:r>
        <w:rPr>
          <w:rFonts w:hint="eastAsia" w:ascii="宋体" w:hAnsi="宋体" w:cs="宋体"/>
          <w:color w:val="auto"/>
          <w:sz w:val="24"/>
          <w:highlight w:val="none"/>
        </w:rPr>
        <w:t>1.1.2.4监理人：</w:t>
      </w:r>
      <w:bookmarkEnd w:id="98"/>
    </w:p>
    <w:p w14:paraId="4CF4BE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99" w:name="_Toc38747071"/>
      <w:r>
        <w:rPr>
          <w:rFonts w:hint="eastAsia" w:ascii="宋体" w:hAnsi="宋体" w:cs="宋体"/>
          <w:color w:val="auto"/>
          <w:sz w:val="24"/>
          <w:highlight w:val="none"/>
        </w:rPr>
        <w:t>名    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99"/>
    </w:p>
    <w:p w14:paraId="65D30B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00" w:name="_Toc38747072"/>
      <w:r>
        <w:rPr>
          <w:rFonts w:hint="eastAsia" w:ascii="宋体" w:hAnsi="宋体" w:cs="宋体"/>
          <w:color w:val="auto"/>
          <w:sz w:val="24"/>
          <w:highlight w:val="none"/>
        </w:rPr>
        <w:t>资质类别和等级：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00"/>
    </w:p>
    <w:p w14:paraId="5E4F7AF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01" w:name="_Toc38747073"/>
      <w:r>
        <w:rPr>
          <w:rFonts w:hint="eastAsia" w:ascii="宋体" w:hAnsi="宋体" w:cs="宋体"/>
          <w:color w:val="auto"/>
          <w:sz w:val="24"/>
          <w:highlight w:val="none"/>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01"/>
    </w:p>
    <w:p w14:paraId="711029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02" w:name="_Toc38747074"/>
      <w:r>
        <w:rPr>
          <w:rFonts w:hint="eastAsia" w:ascii="宋体" w:hAnsi="宋体" w:cs="宋体"/>
          <w:color w:val="auto"/>
          <w:sz w:val="24"/>
          <w:highlight w:val="none"/>
        </w:rPr>
        <w:t>电子信箱：</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02"/>
    </w:p>
    <w:p w14:paraId="03F544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03" w:name="_Toc38747075"/>
      <w:r>
        <w:rPr>
          <w:rFonts w:hint="eastAsia" w:ascii="宋体" w:hAnsi="宋体" w:cs="宋体"/>
          <w:color w:val="auto"/>
          <w:sz w:val="24"/>
          <w:highlight w:val="none"/>
        </w:rPr>
        <w:t>通信地址：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03"/>
    </w:p>
    <w:p w14:paraId="7091D6F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04" w:name="_Toc38747076"/>
      <w:r>
        <w:rPr>
          <w:rFonts w:hint="eastAsia" w:ascii="宋体" w:hAnsi="宋体" w:cs="宋体"/>
          <w:color w:val="auto"/>
          <w:sz w:val="24"/>
          <w:highlight w:val="none"/>
        </w:rPr>
        <w:t>1.1.2.5 设计人：</w:t>
      </w:r>
      <w:bookmarkEnd w:id="104"/>
    </w:p>
    <w:p w14:paraId="28F6365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05" w:name="_Toc38747077"/>
      <w:r>
        <w:rPr>
          <w:rFonts w:hint="eastAsia" w:ascii="宋体" w:hAnsi="宋体" w:cs="宋体"/>
          <w:color w:val="auto"/>
          <w:sz w:val="24"/>
          <w:highlight w:val="none"/>
        </w:rPr>
        <w:t>名    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05"/>
    </w:p>
    <w:p w14:paraId="5286CF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06" w:name="_Toc38747078"/>
      <w:r>
        <w:rPr>
          <w:rFonts w:hint="eastAsia" w:ascii="宋体" w:hAnsi="宋体" w:cs="宋体"/>
          <w:color w:val="auto"/>
          <w:sz w:val="24"/>
          <w:highlight w:val="none"/>
        </w:rPr>
        <w:t>资质类别和等级：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06"/>
    </w:p>
    <w:p w14:paraId="29CBE2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07" w:name="_Toc38747079"/>
      <w:r>
        <w:rPr>
          <w:rFonts w:hint="eastAsia" w:ascii="宋体" w:hAnsi="宋体" w:cs="宋体"/>
          <w:color w:val="auto"/>
          <w:sz w:val="24"/>
          <w:highlight w:val="none"/>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07"/>
    </w:p>
    <w:p w14:paraId="630388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08" w:name="_Toc38747080"/>
      <w:r>
        <w:rPr>
          <w:rFonts w:hint="eastAsia" w:ascii="宋体" w:hAnsi="宋体" w:cs="宋体"/>
          <w:color w:val="auto"/>
          <w:sz w:val="24"/>
          <w:highlight w:val="none"/>
        </w:rPr>
        <w:t>电子信箱：</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08"/>
    </w:p>
    <w:p w14:paraId="11D7F6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09" w:name="_Toc38747081"/>
      <w:r>
        <w:rPr>
          <w:rFonts w:hint="eastAsia" w:ascii="宋体" w:hAnsi="宋体" w:cs="宋体"/>
          <w:color w:val="auto"/>
          <w:sz w:val="24"/>
          <w:highlight w:val="none"/>
        </w:rPr>
        <w:t>通信地址：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09"/>
    </w:p>
    <w:p w14:paraId="14A7B1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10" w:name="_Toc38747082"/>
      <w:r>
        <w:rPr>
          <w:rFonts w:hint="eastAsia" w:ascii="宋体" w:hAnsi="宋体" w:cs="宋体"/>
          <w:color w:val="auto"/>
          <w:sz w:val="24"/>
          <w:highlight w:val="none"/>
        </w:rPr>
        <w:t>1.1.3 工程和设备</w:t>
      </w:r>
      <w:bookmarkEnd w:id="110"/>
    </w:p>
    <w:p w14:paraId="48059F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111" w:name="_Toc38747083"/>
      <w:r>
        <w:rPr>
          <w:rFonts w:hint="eastAsia" w:ascii="宋体" w:hAnsi="宋体" w:cs="宋体"/>
          <w:color w:val="auto"/>
          <w:sz w:val="24"/>
          <w:highlight w:val="none"/>
        </w:rPr>
        <w:t>1.1.3.7 作为施工现场组成部分的其他场所包括：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11"/>
    </w:p>
    <w:p w14:paraId="5A5A74E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12" w:name="_Toc38747084"/>
      <w:r>
        <w:rPr>
          <w:rFonts w:hint="eastAsia" w:ascii="宋体" w:hAnsi="宋体" w:cs="宋体"/>
          <w:color w:val="auto"/>
          <w:sz w:val="24"/>
          <w:highlight w:val="none"/>
        </w:rPr>
        <w:t>1.1.3.9 永久占地包括：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12"/>
    </w:p>
    <w:p w14:paraId="4D84CD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13" w:name="_Toc38747085"/>
      <w:r>
        <w:rPr>
          <w:rFonts w:hint="eastAsia" w:ascii="宋体" w:hAnsi="宋体" w:cs="宋体"/>
          <w:color w:val="auto"/>
          <w:sz w:val="24"/>
          <w:highlight w:val="none"/>
        </w:rPr>
        <w:t>1.1.3.10 临时占地包括：</w:t>
      </w:r>
      <w:r>
        <w:rPr>
          <w:rFonts w:hint="eastAsia" w:ascii="宋体" w:hAnsi="宋体" w:cs="宋体"/>
          <w:color w:val="auto"/>
          <w:sz w:val="24"/>
          <w:highlight w:val="none"/>
          <w:u w:val="single"/>
        </w:rPr>
        <w:t xml:space="preserve">   发包人不提供临时占地。承包人应针对现场实际情况及合同的要求，自行判断是否需要安排场外临时工程用地或施工用地。如果需要，除非合同中或双方另有约定，承包人应自行安排且相应的费用已包含在合同价款中</w:t>
      </w:r>
      <w:r>
        <w:rPr>
          <w:rFonts w:hint="eastAsia" w:ascii="宋体" w:hAnsi="宋体" w:cs="宋体"/>
          <w:color w:val="auto"/>
          <w:sz w:val="24"/>
          <w:highlight w:val="none"/>
        </w:rPr>
        <w:t>。</w:t>
      </w:r>
      <w:bookmarkEnd w:id="113"/>
    </w:p>
    <w:p w14:paraId="270F09A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14" w:name="_Toc38747086"/>
      <w:r>
        <w:rPr>
          <w:rFonts w:hint="eastAsia" w:ascii="宋体" w:hAnsi="宋体" w:cs="宋体"/>
          <w:color w:val="auto"/>
          <w:sz w:val="24"/>
          <w:highlight w:val="none"/>
        </w:rPr>
        <w:t>1.3法律</w:t>
      </w:r>
      <w:bookmarkEnd w:id="114"/>
      <w:r>
        <w:rPr>
          <w:rFonts w:hint="eastAsia" w:ascii="宋体" w:hAnsi="宋体" w:cs="宋体"/>
          <w:color w:val="auto"/>
          <w:sz w:val="24"/>
          <w:highlight w:val="none"/>
        </w:rPr>
        <w:t xml:space="preserve"> </w:t>
      </w:r>
    </w:p>
    <w:p w14:paraId="22B5409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115" w:name="_Toc38747087"/>
      <w:r>
        <w:rPr>
          <w:rFonts w:hint="eastAsia" w:ascii="宋体" w:hAnsi="宋体" w:cs="宋体"/>
          <w:color w:val="auto"/>
          <w:sz w:val="24"/>
          <w:highlight w:val="none"/>
        </w:rPr>
        <w:t>适用于合同的其他规范性文件：</w:t>
      </w:r>
      <w:r>
        <w:rPr>
          <w:rFonts w:hint="eastAsia" w:ascii="宋体" w:hAnsi="宋体" w:cs="宋体"/>
          <w:color w:val="auto"/>
          <w:sz w:val="24"/>
          <w:highlight w:val="none"/>
          <w:u w:val="single"/>
        </w:rPr>
        <w:t>《中华人民共和国民法典》、《中华人民共和国建筑法》、《建设工程质量管理条例》、《建设工程安全生产管理条例》、《中华人民共和国招标投标法》、《工程建设项目施工招标投标办法》（七部委30号令）、《江苏省工程建设管理条例》、《建设工程施工发包与承包价格管理暂行规定》、</w:t>
      </w:r>
      <w:r>
        <w:rPr>
          <w:rFonts w:hint="eastAsia" w:ascii="宋体" w:hAnsi="宋体" w:cs="宋体"/>
          <w:sz w:val="24"/>
          <w:highlight w:val="none"/>
          <w:u w:val="single"/>
        </w:rPr>
        <w:t>《建设工程工程量清单计价标准》（GB/T50500-2024）及9本工程量计算标准</w:t>
      </w:r>
      <w:r>
        <w:rPr>
          <w:rFonts w:hint="eastAsia" w:ascii="宋体" w:hAnsi="宋体" w:cs="宋体"/>
          <w:color w:val="auto"/>
          <w:sz w:val="24"/>
          <w:highlight w:val="none"/>
          <w:u w:val="single"/>
        </w:rPr>
        <w:t>、其他法律法规以及江苏省和无锡市行业主管部门颁布的相关文件规定，如地方法规与国家法规相抵触，按国家法规执行。</w:t>
      </w:r>
      <w:bookmarkEnd w:id="115"/>
    </w:p>
    <w:p w14:paraId="2FAE4D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r>
        <w:rPr>
          <w:rFonts w:hint="eastAsia" w:ascii="宋体" w:hAnsi="宋体" w:cs="宋体"/>
          <w:color w:val="auto"/>
          <w:sz w:val="24"/>
          <w:highlight w:val="none"/>
          <w:u w:val="single"/>
        </w:rPr>
        <w:t>本合同中所提及各种法律、行政法规、部门规章、工程所在地的地方性法规、自治条例、单行条例、地方政府规章、其他规范性文件如已经终止、失效或被更新，双方在适用时，均应自动适用现行有效的最新版本。</w:t>
      </w:r>
    </w:p>
    <w:p w14:paraId="06C463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16" w:name="_Toc38747088"/>
      <w:r>
        <w:rPr>
          <w:rFonts w:hint="eastAsia" w:ascii="宋体" w:hAnsi="宋体" w:cs="宋体"/>
          <w:color w:val="auto"/>
          <w:sz w:val="24"/>
          <w:highlight w:val="none"/>
        </w:rPr>
        <w:t>1.4 标准和规范</w:t>
      </w:r>
      <w:bookmarkEnd w:id="116"/>
    </w:p>
    <w:p w14:paraId="0AD22D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17" w:name="_Toc38747089"/>
      <w:r>
        <w:rPr>
          <w:rFonts w:hint="eastAsia" w:ascii="宋体" w:hAnsi="宋体" w:cs="宋体"/>
          <w:color w:val="auto"/>
          <w:sz w:val="24"/>
          <w:highlight w:val="none"/>
        </w:rPr>
        <w:t>1.4.1适用于工程的标准规范包括：</w:t>
      </w:r>
      <w:r>
        <w:rPr>
          <w:rFonts w:hint="eastAsia" w:ascii="宋体" w:hAnsi="宋体" w:cs="宋体"/>
          <w:color w:val="auto"/>
          <w:sz w:val="24"/>
          <w:highlight w:val="none"/>
          <w:u w:val="single"/>
        </w:rPr>
        <w:t>现行的国家标准、行业标准、工程所在地的地方性标准，以及设计图纸引用或参照的标准、规范、规程等。</w:t>
      </w:r>
      <w:bookmarkEnd w:id="117"/>
    </w:p>
    <w:p w14:paraId="29A4F29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18" w:name="_Toc38747090"/>
      <w:r>
        <w:rPr>
          <w:rFonts w:hint="eastAsia" w:ascii="宋体" w:hAnsi="宋体" w:cs="宋体"/>
          <w:color w:val="auto"/>
          <w:sz w:val="24"/>
          <w:highlight w:val="none"/>
        </w:rPr>
        <w:t>1.4.2 发包人提供国外标准、规范的名称：</w:t>
      </w:r>
      <w:r>
        <w:rPr>
          <w:rFonts w:hint="eastAsia" w:ascii="宋体" w:hAnsi="宋体" w:cs="宋体"/>
          <w:color w:val="auto"/>
          <w:sz w:val="24"/>
          <w:highlight w:val="none"/>
          <w:u w:val="single"/>
        </w:rPr>
        <w:t>如有涉及，双方另行协商；</w:t>
      </w:r>
      <w:bookmarkEnd w:id="118"/>
    </w:p>
    <w:p w14:paraId="4D702E5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119" w:name="_Toc38747091"/>
      <w:r>
        <w:rPr>
          <w:rFonts w:hint="eastAsia" w:ascii="宋体" w:hAnsi="宋体" w:cs="宋体"/>
          <w:color w:val="auto"/>
          <w:sz w:val="24"/>
          <w:highlight w:val="none"/>
        </w:rPr>
        <w:t>发包人提供国外标准、规范的份数：</w:t>
      </w:r>
      <w:r>
        <w:rPr>
          <w:rFonts w:hint="eastAsia" w:ascii="宋体" w:hAnsi="宋体" w:cs="宋体"/>
          <w:color w:val="auto"/>
          <w:sz w:val="24"/>
          <w:highlight w:val="none"/>
          <w:u w:val="single"/>
        </w:rPr>
        <w:t>如有涉及，双方另行协商；</w:t>
      </w:r>
      <w:bookmarkEnd w:id="119"/>
    </w:p>
    <w:p w14:paraId="2DA3D5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20" w:name="_Toc38747092"/>
      <w:r>
        <w:rPr>
          <w:rFonts w:hint="eastAsia" w:ascii="宋体" w:hAnsi="宋体" w:cs="宋体"/>
          <w:color w:val="auto"/>
          <w:sz w:val="24"/>
          <w:highlight w:val="none"/>
        </w:rPr>
        <w:t>发包人提供国外标准、规范的名称：</w:t>
      </w:r>
      <w:r>
        <w:rPr>
          <w:rFonts w:hint="eastAsia" w:ascii="宋体" w:hAnsi="宋体" w:cs="宋体"/>
          <w:color w:val="auto"/>
          <w:sz w:val="24"/>
          <w:highlight w:val="none"/>
          <w:u w:val="single"/>
        </w:rPr>
        <w:t xml:space="preserve">  如有涉及，双方另行协商 </w:t>
      </w:r>
      <w:r>
        <w:rPr>
          <w:rFonts w:hint="eastAsia" w:ascii="宋体" w:hAnsi="宋体" w:cs="宋体"/>
          <w:color w:val="auto"/>
          <w:sz w:val="24"/>
          <w:highlight w:val="none"/>
        </w:rPr>
        <w:t>。</w:t>
      </w:r>
      <w:bookmarkEnd w:id="120"/>
    </w:p>
    <w:p w14:paraId="2AD592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121" w:name="_Toc38747093"/>
      <w:r>
        <w:rPr>
          <w:rFonts w:hint="eastAsia" w:ascii="宋体" w:hAnsi="宋体" w:cs="宋体"/>
          <w:color w:val="auto"/>
          <w:sz w:val="24"/>
          <w:highlight w:val="none"/>
        </w:rPr>
        <w:t>1.4.3发包人对工程的技术标准和功能要求的特殊要求：</w:t>
      </w:r>
      <w:r>
        <w:rPr>
          <w:rFonts w:hint="eastAsia" w:ascii="宋体" w:hAnsi="宋体" w:cs="宋体"/>
          <w:color w:val="auto"/>
          <w:sz w:val="24"/>
          <w:highlight w:val="none"/>
          <w:u w:val="single"/>
        </w:rPr>
        <w:t>国内没有相应标准、规范时按发包人提出的施工技术要求和工艺及行业标准或行业通用习惯执行。</w:t>
      </w:r>
      <w:bookmarkEnd w:id="121"/>
    </w:p>
    <w:p w14:paraId="6154A45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u w:val="single"/>
        </w:rPr>
        <w:t>1.4.3.1在工程实施中所采用的材料设备与工艺，应符合1.4.1、1.4.2项标准与规范的相应要求。</w:t>
      </w:r>
    </w:p>
    <w:p w14:paraId="384A687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u w:val="single"/>
        </w:rPr>
        <w:t>1.4.3.2 在工程实施全过程中，所引用的标准或规范如果有修改或新颁，应由发包人决定是否用新标准或规范，承包人应在监理人的监督下按发包人的决定执行。采用新标准、规范所增加的费用由发包人承担。</w:t>
      </w:r>
    </w:p>
    <w:p w14:paraId="7878F1B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u w:val="single"/>
        </w:rPr>
        <w:t>1.4.3.3 对于工程所采用的标准或规范的任何部分，当承包人认为改用其他标准或规范，能够保证工程达到更高质量时，承包人应在  天前报监理人，经审批后方可采用，否则，承包人应严格执行本规范。但这种批准，应不免除承包人根据合同条款规定的任何责任。</w:t>
      </w:r>
    </w:p>
    <w:p w14:paraId="74BCF2B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u w:val="single"/>
        </w:rPr>
        <w:t>1.4.3.4 当适用于工程的几种标准与规范出现意义不明或不一致时，应由监理人作出解释和校正，并就此向承包人发出指令。在引用的标准或规范发生分歧时，应按以下顺序优先考虑：</w:t>
      </w:r>
    </w:p>
    <w:p w14:paraId="3E81A44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u w:val="single"/>
        </w:rPr>
        <w:t>a.1.4.1、1.4.2项标准与规范中最新和最严格的。</w:t>
      </w:r>
    </w:p>
    <w:p w14:paraId="781A492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u w:val="single"/>
        </w:rPr>
        <w:t>b.中华人民共和国国家标准。</w:t>
      </w:r>
    </w:p>
    <w:p w14:paraId="6EE7BB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r>
        <w:rPr>
          <w:rFonts w:hint="eastAsia" w:ascii="宋体" w:hAnsi="宋体" w:cs="宋体"/>
          <w:color w:val="auto"/>
          <w:kern w:val="0"/>
          <w:sz w:val="24"/>
          <w:highlight w:val="none"/>
          <w:u w:val="single"/>
        </w:rPr>
        <w:t>c.有关部门标准与规范。</w:t>
      </w:r>
    </w:p>
    <w:p w14:paraId="59154C9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22" w:name="_Toc38747094"/>
      <w:r>
        <w:rPr>
          <w:rFonts w:hint="eastAsia" w:ascii="宋体" w:hAnsi="宋体" w:cs="宋体"/>
          <w:color w:val="auto"/>
          <w:sz w:val="24"/>
          <w:highlight w:val="none"/>
        </w:rPr>
        <w:t>1.5 合同文件的优先顺序</w:t>
      </w:r>
      <w:bookmarkEnd w:id="122"/>
    </w:p>
    <w:p w14:paraId="58E965B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23" w:name="_Toc38747095"/>
      <w:r>
        <w:rPr>
          <w:rFonts w:hint="eastAsia" w:ascii="宋体" w:hAnsi="宋体" w:cs="宋体"/>
          <w:color w:val="auto"/>
          <w:sz w:val="24"/>
          <w:highlight w:val="none"/>
        </w:rPr>
        <w:t>合同文件组成及优先顺序为：</w:t>
      </w:r>
      <w:r>
        <w:rPr>
          <w:rFonts w:hint="eastAsia" w:ascii="宋体" w:hAnsi="宋体" w:cs="宋体"/>
          <w:color w:val="auto"/>
          <w:sz w:val="24"/>
          <w:highlight w:val="none"/>
          <w:u w:val="single"/>
        </w:rPr>
        <w:t>(1)补充协议；(2)合同协议书；(3)专用合同条款、专用合同条款补充、专用合同条款附件；(4)中标通知书（如果有）；(5)投标人澄清函及其相应回函（如果有）；(6)招标补充文件及答疑（如果有）；(7)通用合同条款；(8)招标文件；(9)技术标准和要求；(10)图纸；(11)已标价工程量清单或预算书；（12）投标文件；</w:t>
      </w:r>
      <w:bookmarkStart w:id="124" w:name="_Hlk23325971"/>
      <w:r>
        <w:rPr>
          <w:rFonts w:hint="eastAsia" w:ascii="宋体" w:hAnsi="宋体" w:cs="宋体"/>
          <w:color w:val="auto"/>
          <w:sz w:val="24"/>
          <w:highlight w:val="none"/>
          <w:u w:val="single"/>
        </w:rPr>
        <w:t>(13)</w:t>
      </w:r>
      <w:bookmarkEnd w:id="124"/>
      <w:r>
        <w:rPr>
          <w:rFonts w:hint="eastAsia" w:ascii="宋体" w:hAnsi="宋体" w:cs="宋体"/>
          <w:color w:val="auto"/>
          <w:sz w:val="24"/>
          <w:highlight w:val="none"/>
          <w:u w:val="single"/>
        </w:rPr>
        <w:t xml:space="preserve">其他合同文件：《施工界面划分表》、《施工总承包项目管理协议书》、《建设工程廉洁责任书》、《房屋建筑工程质量保修书》、《廉洁从业告知书》等；(14)在合同订立及履行过程中双方有关工程的签证、变更，双方往来文件等形成的与合同有关的文件。优先顺序按照上述约定执行，并进一步约定如下：如果在同一顺序的不同的合同文件之间、同一个合同文件的不同部分之间或任何合同本身出现模糊、前后矛盾或不一致之处，优先以最严格之要求为准，若无法判断严格程度的，则以最新签署文件为准。若在无法根据合同法律解释顺序进行澄清或仍不足以澄清的情况下，除非本合同另有约定，以双方协商为准，如无法协商一致的，以发包人所选定的合同组成部分为准，不受上述排列次序的限制 </w:t>
      </w:r>
      <w:r>
        <w:rPr>
          <w:rFonts w:hint="eastAsia" w:ascii="宋体" w:hAnsi="宋体" w:cs="宋体"/>
          <w:color w:val="auto"/>
          <w:sz w:val="24"/>
          <w:highlight w:val="none"/>
        </w:rPr>
        <w:t>。</w:t>
      </w:r>
      <w:bookmarkEnd w:id="123"/>
    </w:p>
    <w:p w14:paraId="67CAD8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25" w:name="_Toc38747096"/>
      <w:r>
        <w:rPr>
          <w:rFonts w:hint="eastAsia" w:ascii="宋体" w:hAnsi="宋体" w:cs="宋体"/>
          <w:color w:val="auto"/>
          <w:sz w:val="24"/>
          <w:highlight w:val="none"/>
        </w:rPr>
        <w:t>1.6 图纸和承包人文件</w:t>
      </w:r>
      <w:bookmarkEnd w:id="125"/>
      <w:r>
        <w:rPr>
          <w:rFonts w:hint="eastAsia" w:ascii="宋体" w:hAnsi="宋体" w:cs="宋体"/>
          <w:color w:val="auto"/>
          <w:sz w:val="24"/>
          <w:highlight w:val="none"/>
        </w:rPr>
        <w:tab/>
      </w:r>
    </w:p>
    <w:p w14:paraId="5ACD7B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26" w:name="_Toc38747097"/>
      <w:r>
        <w:rPr>
          <w:rFonts w:hint="eastAsia" w:ascii="宋体" w:hAnsi="宋体" w:cs="宋体"/>
          <w:color w:val="auto"/>
          <w:sz w:val="24"/>
          <w:highlight w:val="none"/>
        </w:rPr>
        <w:t>1.6.1 图纸的提供</w:t>
      </w:r>
      <w:bookmarkEnd w:id="126"/>
    </w:p>
    <w:p w14:paraId="430444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27" w:name="_Toc38747098"/>
      <w:r>
        <w:rPr>
          <w:rFonts w:hint="eastAsia" w:ascii="宋体" w:hAnsi="宋体" w:cs="宋体"/>
          <w:color w:val="auto"/>
          <w:sz w:val="24"/>
          <w:highlight w:val="none"/>
        </w:rPr>
        <w:t>发包人向承包人提供图纸的期限：</w:t>
      </w:r>
      <w:r>
        <w:rPr>
          <w:rFonts w:hint="eastAsia" w:ascii="宋体" w:hAnsi="宋体" w:cs="宋体"/>
          <w:color w:val="auto"/>
          <w:sz w:val="24"/>
          <w:highlight w:val="none"/>
          <w:u w:val="single"/>
        </w:rPr>
        <w:t xml:space="preserve"> 开工通知载明的开工日期前7天</w:t>
      </w:r>
      <w:r>
        <w:rPr>
          <w:rFonts w:hint="eastAsia" w:ascii="宋体" w:hAnsi="宋体" w:cs="宋体"/>
          <w:color w:val="auto"/>
          <w:sz w:val="24"/>
          <w:highlight w:val="none"/>
        </w:rPr>
        <w:t>；</w:t>
      </w:r>
      <w:bookmarkEnd w:id="127"/>
    </w:p>
    <w:p w14:paraId="3B1827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28" w:name="_Toc38747099"/>
      <w:r>
        <w:rPr>
          <w:rFonts w:hint="eastAsia" w:ascii="宋体" w:hAnsi="宋体" w:cs="宋体"/>
          <w:color w:val="auto"/>
          <w:sz w:val="24"/>
          <w:highlight w:val="none"/>
        </w:rPr>
        <w:t>发包人向承包人提供图纸的数量：</w:t>
      </w:r>
      <w:r>
        <w:rPr>
          <w:rFonts w:hint="eastAsia" w:ascii="宋体" w:hAnsi="宋体" w:cs="宋体"/>
          <w:color w:val="auto"/>
          <w:sz w:val="24"/>
          <w:highlight w:val="none"/>
          <w:u w:val="single"/>
        </w:rPr>
        <w:t xml:space="preserve"> 三套 </w:t>
      </w:r>
      <w:r>
        <w:rPr>
          <w:rFonts w:hint="eastAsia" w:ascii="宋体" w:hAnsi="宋体" w:cs="宋体"/>
          <w:color w:val="auto"/>
          <w:sz w:val="24"/>
          <w:highlight w:val="none"/>
        </w:rPr>
        <w:t>；</w:t>
      </w:r>
      <w:bookmarkEnd w:id="128"/>
    </w:p>
    <w:p w14:paraId="15427DF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29" w:name="_Toc38747100"/>
      <w:r>
        <w:rPr>
          <w:rFonts w:hint="eastAsia" w:ascii="宋体" w:hAnsi="宋体" w:cs="宋体"/>
          <w:color w:val="auto"/>
          <w:sz w:val="24"/>
          <w:highlight w:val="none"/>
        </w:rPr>
        <w:t>发包人向承包人提供图纸的内容：</w:t>
      </w:r>
      <w:r>
        <w:rPr>
          <w:rFonts w:hint="eastAsia" w:ascii="宋体" w:hAnsi="宋体" w:cs="宋体"/>
          <w:color w:val="auto"/>
          <w:sz w:val="24"/>
          <w:highlight w:val="none"/>
          <w:u w:val="single"/>
        </w:rPr>
        <w:t xml:space="preserve"> </w:t>
      </w:r>
      <w:bookmarkEnd w:id="129"/>
      <w:r>
        <w:rPr>
          <w:rFonts w:hint="eastAsia" w:ascii="宋体" w:hAnsi="宋体" w:cs="宋体"/>
          <w:color w:val="auto"/>
          <w:sz w:val="24"/>
          <w:highlight w:val="none"/>
          <w:u w:val="single"/>
        </w:rPr>
        <w:t xml:space="preserve"> 1、发包人认为与本合同文件约定的承包范围相关的图纸资料。2、发包人在招标阶段已向承包人提供的项目资料，供投标人在编制投标文件时参考，发包人并不能保证其完全有效、完整，且与现场完全一致，承包人需要采用时，必须对发包人提供的资料进行核实、论证或现场勘查，并对上述资料的理解、推论和应用自行负责，发包人对承包人据此自行作出的任何判断和决策不承担任何责任，承包人不得以此为由而要求费用增加和/或工期延长。当承包人认为已提供资料欠缺或有问题时，应当在本项目答疑澄清阶段提出</w:t>
      </w:r>
      <w:r>
        <w:rPr>
          <w:rFonts w:hint="eastAsia" w:ascii="宋体" w:hAnsi="宋体" w:cs="宋体"/>
          <w:color w:val="auto"/>
          <w:sz w:val="24"/>
          <w:highlight w:val="none"/>
        </w:rPr>
        <w:t>。</w:t>
      </w:r>
    </w:p>
    <w:p w14:paraId="74A533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30" w:name="_Toc38747101"/>
      <w:r>
        <w:rPr>
          <w:rFonts w:hint="eastAsia" w:ascii="宋体" w:hAnsi="宋体" w:cs="宋体"/>
          <w:color w:val="auto"/>
          <w:sz w:val="24"/>
          <w:highlight w:val="none"/>
        </w:rPr>
        <w:t>1.6.4 承包人文件</w:t>
      </w:r>
      <w:bookmarkEnd w:id="130"/>
    </w:p>
    <w:p w14:paraId="1802C5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31" w:name="_Toc38747102"/>
      <w:r>
        <w:rPr>
          <w:rFonts w:hint="eastAsia" w:ascii="宋体" w:hAnsi="宋体" w:cs="宋体"/>
          <w:color w:val="auto"/>
          <w:sz w:val="24"/>
          <w:highlight w:val="none"/>
        </w:rPr>
        <w:t>需要由承包人提供的文件，包括：</w:t>
      </w:r>
      <w:r>
        <w:rPr>
          <w:rFonts w:hint="eastAsia" w:ascii="宋体" w:hAnsi="宋体" w:cs="宋体"/>
          <w:color w:val="auto"/>
          <w:sz w:val="24"/>
          <w:highlight w:val="none"/>
          <w:u w:val="single"/>
        </w:rPr>
        <w:t xml:space="preserve">实施性施工组织设计、专项施工方案、材料、人员、工程总进度计划等；其他文件按监理人要求 </w:t>
      </w:r>
      <w:r>
        <w:rPr>
          <w:rFonts w:hint="eastAsia" w:ascii="宋体" w:hAnsi="宋体" w:cs="宋体"/>
          <w:color w:val="auto"/>
          <w:sz w:val="24"/>
          <w:highlight w:val="none"/>
        </w:rPr>
        <w:t>；</w:t>
      </w:r>
      <w:bookmarkEnd w:id="131"/>
    </w:p>
    <w:p w14:paraId="1D655F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32" w:name="_Toc38747103"/>
      <w:r>
        <w:rPr>
          <w:rFonts w:hint="eastAsia" w:ascii="宋体" w:hAnsi="宋体" w:cs="宋体"/>
          <w:color w:val="auto"/>
          <w:sz w:val="24"/>
          <w:highlight w:val="none"/>
        </w:rPr>
        <w:t>承包人提供的文件的期限为：</w:t>
      </w:r>
      <w:r>
        <w:rPr>
          <w:rFonts w:hint="eastAsia" w:ascii="宋体" w:hAnsi="宋体" w:cs="宋体"/>
          <w:color w:val="auto"/>
          <w:sz w:val="24"/>
          <w:highlight w:val="none"/>
          <w:u w:val="single"/>
        </w:rPr>
        <w:t xml:space="preserve"> 正式开工前7天   </w:t>
      </w:r>
      <w:r>
        <w:rPr>
          <w:rFonts w:hint="eastAsia" w:ascii="宋体" w:hAnsi="宋体" w:cs="宋体"/>
          <w:color w:val="auto"/>
          <w:sz w:val="24"/>
          <w:highlight w:val="none"/>
        </w:rPr>
        <w:t>；</w:t>
      </w:r>
      <w:bookmarkEnd w:id="132"/>
    </w:p>
    <w:p w14:paraId="2AAFA7C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33" w:name="_Toc38747104"/>
      <w:r>
        <w:rPr>
          <w:rFonts w:hint="eastAsia" w:ascii="宋体" w:hAnsi="宋体" w:cs="宋体"/>
          <w:color w:val="auto"/>
          <w:sz w:val="24"/>
          <w:highlight w:val="none"/>
        </w:rPr>
        <w:t>承包人提供的文件的数量为：</w:t>
      </w:r>
      <w:r>
        <w:rPr>
          <w:rFonts w:hint="eastAsia" w:ascii="宋体" w:hAnsi="宋体" w:cs="宋体"/>
          <w:color w:val="auto"/>
          <w:sz w:val="24"/>
          <w:highlight w:val="none"/>
          <w:u w:val="single"/>
        </w:rPr>
        <w:t xml:space="preserve"> 一式三份 </w:t>
      </w:r>
      <w:r>
        <w:rPr>
          <w:rFonts w:hint="eastAsia" w:ascii="宋体" w:hAnsi="宋体" w:cs="宋体"/>
          <w:color w:val="auto"/>
          <w:sz w:val="24"/>
          <w:highlight w:val="none"/>
        </w:rPr>
        <w:t>；</w:t>
      </w:r>
      <w:bookmarkEnd w:id="133"/>
    </w:p>
    <w:p w14:paraId="3177F1F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34" w:name="_Toc38747105"/>
      <w:r>
        <w:rPr>
          <w:rFonts w:hint="eastAsia" w:ascii="宋体" w:hAnsi="宋体" w:cs="宋体"/>
          <w:color w:val="auto"/>
          <w:sz w:val="24"/>
          <w:highlight w:val="none"/>
        </w:rPr>
        <w:t>承包人提供的文件的形式为：</w:t>
      </w:r>
      <w:r>
        <w:rPr>
          <w:rFonts w:hint="eastAsia" w:ascii="宋体" w:hAnsi="宋体" w:cs="宋体"/>
          <w:color w:val="auto"/>
          <w:sz w:val="24"/>
          <w:highlight w:val="none"/>
          <w:u w:val="single"/>
        </w:rPr>
        <w:t xml:space="preserve"> 书面文本 </w:t>
      </w:r>
      <w:r>
        <w:rPr>
          <w:rFonts w:hint="eastAsia" w:ascii="宋体" w:hAnsi="宋体" w:cs="宋体"/>
          <w:color w:val="auto"/>
          <w:sz w:val="24"/>
          <w:highlight w:val="none"/>
        </w:rPr>
        <w:t>；</w:t>
      </w:r>
      <w:bookmarkEnd w:id="134"/>
    </w:p>
    <w:p w14:paraId="551E298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35" w:name="_Toc38747106"/>
      <w:r>
        <w:rPr>
          <w:rFonts w:hint="eastAsia" w:ascii="宋体" w:hAnsi="宋体" w:cs="宋体"/>
          <w:color w:val="auto"/>
          <w:sz w:val="24"/>
          <w:highlight w:val="none"/>
        </w:rPr>
        <w:t>发包人审批承包人文件的期限：</w:t>
      </w:r>
      <w:r>
        <w:rPr>
          <w:rFonts w:hint="eastAsia" w:ascii="宋体" w:hAnsi="宋体" w:cs="宋体"/>
          <w:color w:val="auto"/>
          <w:sz w:val="24"/>
          <w:highlight w:val="none"/>
          <w:u w:val="single"/>
        </w:rPr>
        <w:t xml:space="preserve"> 按通用合同条款 </w:t>
      </w:r>
      <w:r>
        <w:rPr>
          <w:rFonts w:hint="eastAsia" w:ascii="宋体" w:hAnsi="宋体" w:cs="宋体"/>
          <w:color w:val="auto"/>
          <w:sz w:val="24"/>
          <w:highlight w:val="none"/>
        </w:rPr>
        <w:t>。</w:t>
      </w:r>
      <w:bookmarkEnd w:id="135"/>
    </w:p>
    <w:p w14:paraId="7705D1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36" w:name="_Toc38747107"/>
      <w:r>
        <w:rPr>
          <w:rFonts w:hint="eastAsia" w:ascii="宋体" w:hAnsi="宋体" w:cs="宋体"/>
          <w:color w:val="auto"/>
          <w:sz w:val="24"/>
          <w:highlight w:val="none"/>
        </w:rPr>
        <w:t>1.6.5 现场图纸准备</w:t>
      </w:r>
      <w:bookmarkEnd w:id="136"/>
    </w:p>
    <w:p w14:paraId="01EA61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37" w:name="_Toc38747108"/>
      <w:r>
        <w:rPr>
          <w:rFonts w:hint="eastAsia" w:ascii="宋体" w:hAnsi="宋体" w:cs="宋体"/>
          <w:color w:val="auto"/>
          <w:sz w:val="24"/>
          <w:highlight w:val="none"/>
        </w:rPr>
        <w:t>关于现场图纸准备的约定：</w:t>
      </w:r>
      <w:r>
        <w:rPr>
          <w:rFonts w:hint="eastAsia" w:ascii="宋体" w:hAnsi="宋体" w:cs="宋体"/>
          <w:color w:val="auto"/>
          <w:sz w:val="24"/>
          <w:highlight w:val="none"/>
          <w:u w:val="single"/>
        </w:rPr>
        <w:t xml:space="preserve"> </w:t>
      </w:r>
      <w:bookmarkEnd w:id="137"/>
      <w:r>
        <w:rPr>
          <w:rFonts w:hint="eastAsia" w:ascii="宋体" w:hAnsi="宋体" w:cs="宋体"/>
          <w:color w:val="auto"/>
          <w:sz w:val="24"/>
          <w:highlight w:val="none"/>
          <w:u w:val="single"/>
        </w:rPr>
        <w:t>承包人应在施工现场保存一套完整的图纸和承包人文件，供发包人、监理人及有关人员进行工程检查时使用，相关费用已包含在合同价中</w:t>
      </w:r>
      <w:r>
        <w:rPr>
          <w:rFonts w:hint="eastAsia" w:ascii="宋体" w:hAnsi="宋体" w:cs="宋体"/>
          <w:color w:val="auto"/>
          <w:sz w:val="24"/>
          <w:highlight w:val="none"/>
        </w:rPr>
        <w:t>。</w:t>
      </w:r>
    </w:p>
    <w:p w14:paraId="37EEB54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38" w:name="_Toc38747109"/>
      <w:r>
        <w:rPr>
          <w:rFonts w:hint="eastAsia" w:ascii="宋体" w:hAnsi="宋体" w:cs="宋体"/>
          <w:color w:val="auto"/>
          <w:sz w:val="24"/>
          <w:highlight w:val="none"/>
        </w:rPr>
        <w:t>1.7 联络</w:t>
      </w:r>
      <w:bookmarkEnd w:id="138"/>
    </w:p>
    <w:p w14:paraId="4A4A4A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39" w:name="_Toc38747110"/>
      <w:r>
        <w:rPr>
          <w:rFonts w:hint="eastAsia" w:ascii="宋体" w:hAnsi="宋体" w:cs="宋体"/>
          <w:color w:val="auto"/>
          <w:sz w:val="24"/>
          <w:highlight w:val="none"/>
        </w:rPr>
        <w:t>1.7.1发包人和承包人应当在</w:t>
      </w:r>
      <w:r>
        <w:rPr>
          <w:rFonts w:hint="eastAsia" w:ascii="宋体" w:hAnsi="宋体" w:cs="宋体"/>
          <w:color w:val="auto"/>
          <w:sz w:val="24"/>
          <w:highlight w:val="none"/>
          <w:u w:val="single"/>
        </w:rPr>
        <w:t xml:space="preserve"> 7 </w:t>
      </w:r>
      <w:r>
        <w:rPr>
          <w:rFonts w:hint="eastAsia" w:ascii="宋体" w:hAnsi="宋体" w:cs="宋体"/>
          <w:color w:val="auto"/>
          <w:sz w:val="24"/>
          <w:highlight w:val="none"/>
        </w:rPr>
        <w:t>天内将与合同有关的通知、批准、证明、证书、指示、指令、要求、请求、同意、意见、确定和决定等书面函件送达对方当事人。</w:t>
      </w:r>
      <w:bookmarkEnd w:id="139"/>
    </w:p>
    <w:p w14:paraId="5CBA45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40" w:name="_Toc38747111"/>
      <w:r>
        <w:rPr>
          <w:rFonts w:hint="eastAsia" w:ascii="宋体" w:hAnsi="宋体" w:cs="宋体"/>
          <w:color w:val="auto"/>
          <w:sz w:val="24"/>
          <w:highlight w:val="none"/>
        </w:rPr>
        <w:t>1.7.2 发包人接收文件的地点：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40"/>
    </w:p>
    <w:p w14:paraId="5E3A966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41" w:name="_Toc38747112"/>
      <w:r>
        <w:rPr>
          <w:rFonts w:hint="eastAsia" w:ascii="宋体" w:hAnsi="宋体" w:cs="宋体"/>
          <w:color w:val="auto"/>
          <w:sz w:val="24"/>
          <w:highlight w:val="none"/>
        </w:rPr>
        <w:t>发包人指定的接收人为：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41"/>
    </w:p>
    <w:p w14:paraId="5B5B1E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42" w:name="_Toc38747113"/>
      <w:r>
        <w:rPr>
          <w:rFonts w:hint="eastAsia" w:ascii="宋体" w:hAnsi="宋体" w:cs="宋体"/>
          <w:color w:val="auto"/>
          <w:sz w:val="24"/>
          <w:highlight w:val="none"/>
        </w:rPr>
        <w:t>承包人接收文件的地点：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42"/>
    </w:p>
    <w:p w14:paraId="568CC80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43" w:name="_Toc38747114"/>
      <w:r>
        <w:rPr>
          <w:rFonts w:hint="eastAsia" w:ascii="宋体" w:hAnsi="宋体" w:cs="宋体"/>
          <w:color w:val="auto"/>
          <w:sz w:val="24"/>
          <w:highlight w:val="none"/>
        </w:rPr>
        <w:t>承包人指定的接收人为：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43"/>
    </w:p>
    <w:p w14:paraId="20DE89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44" w:name="_Toc38747115"/>
      <w:r>
        <w:rPr>
          <w:rFonts w:hint="eastAsia" w:ascii="宋体" w:hAnsi="宋体" w:cs="宋体"/>
          <w:color w:val="auto"/>
          <w:sz w:val="24"/>
          <w:highlight w:val="none"/>
        </w:rPr>
        <w:t>监理人接收文件的地点：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44"/>
    </w:p>
    <w:p w14:paraId="73E321A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45" w:name="_Toc38747116"/>
      <w:r>
        <w:rPr>
          <w:rFonts w:hint="eastAsia" w:ascii="宋体" w:hAnsi="宋体" w:cs="宋体"/>
          <w:color w:val="auto"/>
          <w:sz w:val="24"/>
          <w:highlight w:val="none"/>
        </w:rPr>
        <w:t>监理人指定的接收人为：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45"/>
    </w:p>
    <w:p w14:paraId="06BE035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46" w:name="_Toc38747117"/>
      <w:r>
        <w:rPr>
          <w:rFonts w:hint="eastAsia" w:ascii="宋体" w:hAnsi="宋体" w:cs="宋体"/>
          <w:color w:val="auto"/>
          <w:sz w:val="24"/>
          <w:highlight w:val="none"/>
        </w:rPr>
        <w:t>1.10 交通运输</w:t>
      </w:r>
      <w:bookmarkEnd w:id="146"/>
    </w:p>
    <w:p w14:paraId="2CD6FA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47" w:name="_Toc38747118"/>
      <w:bookmarkStart w:id="148" w:name="_Toc300934944"/>
      <w:bookmarkStart w:id="149" w:name="_Toc303539101"/>
      <w:bookmarkStart w:id="150" w:name="_Toc304295522"/>
      <w:bookmarkStart w:id="151" w:name="_Toc318581156"/>
      <w:bookmarkStart w:id="152" w:name="_Toc312677987"/>
      <w:r>
        <w:rPr>
          <w:rFonts w:hint="eastAsia" w:ascii="宋体" w:hAnsi="宋体" w:cs="宋体"/>
          <w:color w:val="auto"/>
          <w:sz w:val="24"/>
          <w:highlight w:val="none"/>
        </w:rPr>
        <w:t>1</w:t>
      </w:r>
      <w:bookmarkStart w:id="153" w:name="_Toc318581155"/>
      <w:bookmarkStart w:id="154" w:name="_Toc303539100"/>
      <w:bookmarkStart w:id="155" w:name="_Toc300934943"/>
      <w:bookmarkStart w:id="156" w:name="_Toc312677986"/>
      <w:bookmarkStart w:id="157" w:name="_Toc304295521"/>
      <w:r>
        <w:rPr>
          <w:rFonts w:hint="eastAsia" w:ascii="宋体" w:hAnsi="宋体" w:cs="宋体"/>
          <w:color w:val="auto"/>
          <w:sz w:val="24"/>
          <w:highlight w:val="none"/>
        </w:rPr>
        <w:t>.10.1 出入现场的权利</w:t>
      </w:r>
      <w:bookmarkEnd w:id="147"/>
    </w:p>
    <w:p w14:paraId="47D221C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58" w:name="_Toc38747119"/>
      <w:r>
        <w:rPr>
          <w:rFonts w:hint="eastAsia" w:ascii="宋体" w:hAnsi="宋体" w:cs="宋体"/>
          <w:color w:val="auto"/>
          <w:sz w:val="24"/>
          <w:highlight w:val="none"/>
        </w:rPr>
        <w:t>关于出入现场的权利的约定：</w:t>
      </w:r>
      <w:r>
        <w:rPr>
          <w:rFonts w:hint="eastAsia" w:ascii="宋体" w:hAnsi="宋体" w:cs="宋体"/>
          <w:color w:val="auto"/>
          <w:sz w:val="24"/>
          <w:highlight w:val="none"/>
          <w:u w:val="single"/>
        </w:rPr>
        <w:t>承包人负责取得出入施工现场所需的批准手续和全部权利，以及取得因施工所需修建道路、桥梁以及其他基础设施的权利，费用由承包人承担，发包人协助</w:t>
      </w:r>
      <w:r>
        <w:rPr>
          <w:rFonts w:hint="eastAsia" w:ascii="宋体" w:hAnsi="宋体" w:cs="宋体"/>
          <w:color w:val="auto"/>
          <w:sz w:val="24"/>
          <w:highlight w:val="none"/>
        </w:rPr>
        <w:t>。</w:t>
      </w:r>
      <w:bookmarkEnd w:id="153"/>
      <w:bookmarkEnd w:id="154"/>
      <w:bookmarkEnd w:id="155"/>
      <w:bookmarkEnd w:id="156"/>
      <w:bookmarkEnd w:id="157"/>
      <w:bookmarkEnd w:id="158"/>
      <w:bookmarkStart w:id="159" w:name="EB589c612eaf5e4fe884efccd061734b3a"/>
      <w:r>
        <w:rPr>
          <w:rFonts w:hint="eastAsia" w:ascii="宋体" w:hAnsi="宋体" w:cs="宋体"/>
          <w:color w:val="auto"/>
          <w:kern w:val="0"/>
          <w:sz w:val="24"/>
          <w:highlight w:val="none"/>
          <w:u w:val="single"/>
        </w:rPr>
        <w:t>（1）承包人应根据施工需要，负责取得出入施工现场所需的合法手续，并承担相关费用。承包人应在订立合同前查勘施工现场，并根据工程规模及技术参数合理预见工程施工所需的进出施工现场的方式、手段、路径等。因承包人未合理预见所增加的费用和（或）延误的工期由承包人承担。（2）承包人负责实施现场封闭管理与出入现场管理，并实行出入口人车分流设置。（3）承包人负责实施出入口人、车准入制度，对不符合要求的人员、车辆限制出入。（4）承包人必须接受监理人关于现场封闭管理与出入现场管理的各类检查，对监理人提出的不合规情况进行及时、有效的整改。承包人应在接到整改通知后7天内整改到位，如有逾期，按2000元/天的标准向发包人支付违约金</w:t>
      </w:r>
      <w:bookmarkEnd w:id="159"/>
      <w:r>
        <w:rPr>
          <w:rFonts w:hint="eastAsia" w:ascii="宋体" w:hAnsi="宋体" w:cs="宋体"/>
          <w:color w:val="auto"/>
          <w:kern w:val="0"/>
          <w:sz w:val="24"/>
          <w:highlight w:val="none"/>
          <w:u w:val="single"/>
        </w:rPr>
        <w:t>。</w:t>
      </w:r>
    </w:p>
    <w:p w14:paraId="3CD178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60" w:name="_Toc38747120"/>
      <w:r>
        <w:rPr>
          <w:rFonts w:hint="eastAsia" w:ascii="宋体" w:hAnsi="宋体" w:cs="宋体"/>
          <w:color w:val="auto"/>
          <w:sz w:val="24"/>
          <w:highlight w:val="none"/>
        </w:rPr>
        <w:t>10.3 场内交通</w:t>
      </w:r>
      <w:bookmarkEnd w:id="160"/>
    </w:p>
    <w:p w14:paraId="16BDD3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61" w:name="_Toc38747121"/>
      <w:r>
        <w:rPr>
          <w:rFonts w:hint="eastAsia" w:ascii="宋体" w:hAnsi="宋体" w:cs="宋体"/>
          <w:color w:val="auto"/>
          <w:sz w:val="24"/>
          <w:highlight w:val="none"/>
        </w:rPr>
        <w:t>关于场外交通和场内交通的边界的约定：</w:t>
      </w:r>
      <w:bookmarkEnd w:id="161"/>
      <w:r>
        <w:rPr>
          <w:rFonts w:hint="eastAsia" w:ascii="宋体" w:hAnsi="宋体" w:cs="宋体"/>
          <w:color w:val="auto"/>
          <w:sz w:val="24"/>
          <w:highlight w:val="none"/>
          <w:u w:val="single"/>
        </w:rPr>
        <w:t>以场地施工围墙、围栏作为边界划分标准；如设置有多层围墙或围栏的，则以最外层作为边界划分标准；如未设置围墙或围栏的，则以场地红线作为边界划分标准（红线内的市政道路为场外交通）</w:t>
      </w:r>
      <w:r>
        <w:rPr>
          <w:rFonts w:hint="eastAsia" w:ascii="宋体" w:hAnsi="宋体" w:cs="宋体"/>
          <w:color w:val="auto"/>
          <w:sz w:val="24"/>
          <w:highlight w:val="none"/>
        </w:rPr>
        <w:t>。</w:t>
      </w:r>
    </w:p>
    <w:p w14:paraId="787708E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162" w:name="_Toc38747122"/>
      <w:r>
        <w:rPr>
          <w:rFonts w:hint="eastAsia" w:ascii="宋体" w:hAnsi="宋体" w:cs="宋体"/>
          <w:color w:val="auto"/>
          <w:sz w:val="24"/>
          <w:highlight w:val="none"/>
        </w:rPr>
        <w:t>关于发包人向承包人免费提供满足工程施工需要的场内道路和交通设施的约定：</w:t>
      </w:r>
      <w:bookmarkEnd w:id="148"/>
      <w:bookmarkEnd w:id="149"/>
      <w:bookmarkEnd w:id="150"/>
      <w:bookmarkEnd w:id="151"/>
      <w:bookmarkEnd w:id="152"/>
      <w:bookmarkEnd w:id="162"/>
      <w:bookmarkStart w:id="163" w:name="_Toc318581157"/>
      <w:r>
        <w:rPr>
          <w:rFonts w:hint="eastAsia" w:ascii="宋体" w:hAnsi="宋体" w:cs="宋体"/>
          <w:color w:val="auto"/>
          <w:kern w:val="0"/>
          <w:sz w:val="24"/>
          <w:highlight w:val="none"/>
          <w:u w:val="single"/>
        </w:rPr>
        <w:t>承包人可到本工程现场自行踏勘，任何因忽视或误解本工程现场情况而导致的索赔将不被批准。承包人承担踏勘本工程现场所发生的全部责任、风险和自身费用。承包范围内工程项目的现场施工临时道路和交通设施均由承包人自行实施并承担费用，发包人不提供</w:t>
      </w:r>
      <w:r>
        <w:rPr>
          <w:rFonts w:hint="eastAsia" w:ascii="宋体" w:hAnsi="宋体" w:cs="宋体"/>
          <w:color w:val="auto"/>
          <w:kern w:val="0"/>
          <w:sz w:val="24"/>
          <w:highlight w:val="none"/>
        </w:rPr>
        <w:t>。</w:t>
      </w:r>
    </w:p>
    <w:p w14:paraId="1B72A3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64" w:name="_Toc38747123"/>
      <w:r>
        <w:rPr>
          <w:rFonts w:hint="eastAsia" w:ascii="宋体" w:hAnsi="宋体" w:cs="宋体"/>
          <w:color w:val="auto"/>
          <w:sz w:val="24"/>
          <w:highlight w:val="none"/>
        </w:rPr>
        <w:t>10.4超大件和超重件的运输</w:t>
      </w:r>
      <w:bookmarkEnd w:id="164"/>
    </w:p>
    <w:p w14:paraId="26DB420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65" w:name="_Toc38747124"/>
      <w:r>
        <w:rPr>
          <w:rFonts w:hint="eastAsia" w:ascii="宋体" w:hAnsi="宋体" w:cs="宋体"/>
          <w:color w:val="auto"/>
          <w:sz w:val="24"/>
          <w:highlight w:val="none"/>
        </w:rPr>
        <w:t>运输超大件或超重件所需的道路和桥梁临时加固改造费用和其他有关费用由</w:t>
      </w:r>
      <w:r>
        <w:rPr>
          <w:rFonts w:hint="eastAsia" w:ascii="宋体" w:hAnsi="宋体" w:cs="宋体"/>
          <w:color w:val="auto"/>
          <w:sz w:val="24"/>
          <w:highlight w:val="none"/>
          <w:u w:val="single"/>
        </w:rPr>
        <w:t xml:space="preserve"> 承包人</w:t>
      </w:r>
      <w:r>
        <w:rPr>
          <w:rFonts w:hint="eastAsia" w:ascii="宋体" w:hAnsi="宋体" w:cs="宋体"/>
          <w:color w:val="auto"/>
          <w:sz w:val="24"/>
          <w:highlight w:val="none"/>
        </w:rPr>
        <w:t>承担。</w:t>
      </w:r>
      <w:bookmarkEnd w:id="165"/>
    </w:p>
    <w:bookmarkEnd w:id="163"/>
    <w:p w14:paraId="5536786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66" w:name="_Toc38747125"/>
      <w:r>
        <w:rPr>
          <w:rFonts w:hint="eastAsia" w:ascii="宋体" w:hAnsi="宋体" w:cs="宋体"/>
          <w:color w:val="auto"/>
          <w:sz w:val="24"/>
          <w:highlight w:val="none"/>
        </w:rPr>
        <w:t>1.11 知识产权</w:t>
      </w:r>
      <w:bookmarkEnd w:id="166"/>
    </w:p>
    <w:p w14:paraId="33753FE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67" w:name="_Toc38747126"/>
      <w:r>
        <w:rPr>
          <w:rFonts w:hint="eastAsia" w:ascii="宋体" w:hAnsi="宋体" w:cs="宋体"/>
          <w:color w:val="auto"/>
          <w:sz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4"/>
          <w:highlight w:val="none"/>
          <w:u w:val="single"/>
        </w:rPr>
        <w:t>属于发包人</w:t>
      </w:r>
      <w:r>
        <w:rPr>
          <w:rFonts w:hint="eastAsia" w:ascii="宋体" w:hAnsi="宋体" w:cs="宋体"/>
          <w:color w:val="auto"/>
          <w:sz w:val="24"/>
          <w:highlight w:val="none"/>
        </w:rPr>
        <w:t>。</w:t>
      </w:r>
      <w:bookmarkEnd w:id="167"/>
    </w:p>
    <w:p w14:paraId="6A9DD7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68" w:name="_Toc38747127"/>
      <w:r>
        <w:rPr>
          <w:rFonts w:hint="eastAsia" w:ascii="宋体" w:hAnsi="宋体" w:cs="宋体"/>
          <w:color w:val="auto"/>
          <w:sz w:val="24"/>
          <w:highlight w:val="none"/>
        </w:rPr>
        <w:t>关于发包人提供的上述文件的使用限制的要求：</w:t>
      </w:r>
      <w:r>
        <w:rPr>
          <w:rFonts w:hint="eastAsia" w:ascii="宋体" w:hAnsi="宋体" w:cs="宋体"/>
          <w:color w:val="auto"/>
          <w:sz w:val="24"/>
          <w:highlight w:val="none"/>
          <w:u w:val="single"/>
        </w:rPr>
        <w:t>未经发包人书面同意，承包人不得为了合同以外的目的而复制、使用上述文件或将之提供给任何第三方</w:t>
      </w:r>
      <w:r>
        <w:rPr>
          <w:rFonts w:hint="eastAsia" w:ascii="宋体" w:hAnsi="宋体" w:cs="宋体"/>
          <w:color w:val="auto"/>
          <w:sz w:val="24"/>
          <w:highlight w:val="none"/>
        </w:rPr>
        <w:t>。</w:t>
      </w:r>
      <w:bookmarkEnd w:id="168"/>
    </w:p>
    <w:p w14:paraId="792D7A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69" w:name="_Toc38747128"/>
      <w:r>
        <w:rPr>
          <w:rFonts w:hint="eastAsia" w:ascii="宋体" w:hAnsi="宋体" w:cs="宋体"/>
          <w:color w:val="auto"/>
          <w:sz w:val="24"/>
          <w:highlight w:val="none"/>
        </w:rPr>
        <w:t>1.11.2 关于承包人为实施工程所编制文件的著作权的归属：</w:t>
      </w:r>
      <w:r>
        <w:rPr>
          <w:rFonts w:hint="eastAsia" w:ascii="宋体" w:hAnsi="宋体" w:cs="宋体"/>
          <w:color w:val="auto"/>
          <w:sz w:val="24"/>
          <w:highlight w:val="none"/>
          <w:u w:val="single"/>
        </w:rPr>
        <w:t>除署名权以外的著作权属于发包人</w:t>
      </w:r>
      <w:r>
        <w:rPr>
          <w:rFonts w:hint="eastAsia" w:ascii="宋体" w:hAnsi="宋体" w:cs="宋体"/>
          <w:color w:val="auto"/>
          <w:sz w:val="24"/>
          <w:highlight w:val="none"/>
        </w:rPr>
        <w:t>。</w:t>
      </w:r>
      <w:bookmarkEnd w:id="169"/>
    </w:p>
    <w:p w14:paraId="05F578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70" w:name="_Toc38747129"/>
      <w:r>
        <w:rPr>
          <w:rFonts w:hint="eastAsia" w:ascii="宋体" w:hAnsi="宋体" w:cs="宋体"/>
          <w:color w:val="auto"/>
          <w:sz w:val="24"/>
          <w:highlight w:val="none"/>
        </w:rPr>
        <w:t>关于承包人提供的上述文件的使用限制的要求：</w:t>
      </w:r>
      <w:r>
        <w:rPr>
          <w:rFonts w:hint="eastAsia" w:ascii="宋体" w:hAnsi="宋体" w:cs="宋体"/>
          <w:color w:val="auto"/>
          <w:sz w:val="24"/>
          <w:highlight w:val="none"/>
          <w:u w:val="single"/>
        </w:rPr>
        <w:t>承包人可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ascii="宋体" w:hAnsi="宋体" w:cs="宋体"/>
          <w:color w:val="auto"/>
          <w:sz w:val="24"/>
          <w:highlight w:val="none"/>
        </w:rPr>
        <w:t>。</w:t>
      </w:r>
      <w:bookmarkEnd w:id="170"/>
    </w:p>
    <w:p w14:paraId="72CD4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71" w:name="_Toc38747130"/>
      <w:r>
        <w:rPr>
          <w:rFonts w:hint="eastAsia" w:ascii="宋体" w:hAnsi="宋体" w:cs="宋体"/>
          <w:color w:val="auto"/>
          <w:sz w:val="24"/>
          <w:highlight w:val="none"/>
        </w:rPr>
        <w:t>1.11.4 承包人在施工过程中所采用的专利、专有技术、技术秘密的使用费的承担方式：</w:t>
      </w:r>
      <w:r>
        <w:rPr>
          <w:rFonts w:hint="eastAsia" w:ascii="宋体" w:hAnsi="宋体" w:cs="宋体"/>
          <w:color w:val="auto"/>
          <w:sz w:val="24"/>
          <w:highlight w:val="none"/>
          <w:u w:val="single"/>
        </w:rPr>
        <w:t xml:space="preserve"> 由承包人承担 </w:t>
      </w:r>
      <w:r>
        <w:rPr>
          <w:rFonts w:hint="eastAsia" w:ascii="宋体" w:hAnsi="宋体" w:cs="宋体"/>
          <w:color w:val="auto"/>
          <w:sz w:val="24"/>
          <w:highlight w:val="none"/>
        </w:rPr>
        <w:t>。</w:t>
      </w:r>
      <w:bookmarkEnd w:id="171"/>
    </w:p>
    <w:p w14:paraId="195DD3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72" w:name="_Toc38747131"/>
      <w:r>
        <w:rPr>
          <w:rFonts w:hint="eastAsia" w:ascii="宋体" w:hAnsi="宋体" w:cs="宋体"/>
          <w:color w:val="auto"/>
          <w:sz w:val="24"/>
          <w:highlight w:val="none"/>
        </w:rPr>
        <w:t>1.13工程量清单错误的修正</w:t>
      </w:r>
      <w:bookmarkEnd w:id="172"/>
    </w:p>
    <w:p w14:paraId="1C0667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73" w:name="_Toc38747132"/>
      <w:r>
        <w:rPr>
          <w:rFonts w:hint="eastAsia" w:ascii="宋体" w:hAnsi="宋体" w:cs="宋体"/>
          <w:color w:val="auto"/>
          <w:sz w:val="24"/>
          <w:highlight w:val="none"/>
        </w:rPr>
        <w:t>出现工程量清单错误时，是否调整合同价格：</w:t>
      </w:r>
      <w:r>
        <w:rPr>
          <w:rFonts w:hint="eastAsia" w:ascii="宋体" w:hAnsi="宋体" w:cs="宋体"/>
          <w:color w:val="auto"/>
          <w:sz w:val="24"/>
          <w:highlight w:val="none"/>
          <w:u w:val="single"/>
        </w:rPr>
        <w:t>是</w:t>
      </w:r>
      <w:r>
        <w:rPr>
          <w:rFonts w:hint="eastAsia" w:ascii="宋体" w:hAnsi="宋体" w:cs="宋体"/>
          <w:color w:val="auto"/>
          <w:sz w:val="24"/>
          <w:highlight w:val="none"/>
        </w:rPr>
        <w:t>。</w:t>
      </w:r>
      <w:bookmarkEnd w:id="173"/>
    </w:p>
    <w:p w14:paraId="0DBC207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174" w:name="_Toc38747133"/>
      <w:r>
        <w:rPr>
          <w:rFonts w:hint="eastAsia" w:ascii="宋体" w:hAnsi="宋体" w:cs="宋体"/>
          <w:color w:val="auto"/>
          <w:sz w:val="24"/>
          <w:highlight w:val="none"/>
        </w:rPr>
        <w:t>允许调整合同价格的工程量偏差范围：</w:t>
      </w:r>
      <w:r>
        <w:rPr>
          <w:rFonts w:hint="eastAsia" w:ascii="宋体" w:hAnsi="宋体" w:cs="宋体"/>
          <w:color w:val="auto"/>
          <w:sz w:val="24"/>
          <w:highlight w:val="none"/>
          <w:u w:val="single"/>
        </w:rPr>
        <w:t>只有发包人指令和发包人同意的设计变更才能产生造价变更。施工期间如有设计变更，而工程量清单中未包含变更工程的单价时，由承包人报出单价，经审计和发包人确认。</w:t>
      </w:r>
      <w:bookmarkEnd w:id="174"/>
    </w:p>
    <w:p w14:paraId="170764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bCs/>
          <w:color w:val="auto"/>
          <w:sz w:val="24"/>
          <w:highlight w:val="none"/>
        </w:rPr>
      </w:pPr>
      <w:bookmarkStart w:id="175" w:name="_Toc38747134"/>
      <w:bookmarkStart w:id="176" w:name="_Toc351203634"/>
      <w:r>
        <w:rPr>
          <w:rFonts w:hint="eastAsia" w:ascii="宋体" w:hAnsi="宋体" w:cs="宋体"/>
          <w:bCs/>
          <w:color w:val="auto"/>
          <w:sz w:val="24"/>
          <w:highlight w:val="none"/>
        </w:rPr>
        <w:t>2</w:t>
      </w:r>
      <w:bookmarkStart w:id="177" w:name="_Toc296347156"/>
      <w:bookmarkStart w:id="178" w:name="_Toc296891197"/>
      <w:bookmarkStart w:id="179" w:name="_Toc292559362"/>
      <w:bookmarkStart w:id="180" w:name="_Toc296346658"/>
      <w:bookmarkStart w:id="181" w:name="_Toc296944496"/>
      <w:bookmarkStart w:id="182" w:name="_Toc297120457"/>
      <w:bookmarkStart w:id="183" w:name="_Toc296503157"/>
      <w:bookmarkStart w:id="184" w:name="_Toc296890985"/>
      <w:bookmarkStart w:id="185" w:name="_Toc297048343"/>
      <w:bookmarkStart w:id="186" w:name="_Toc292559867"/>
      <w:r>
        <w:rPr>
          <w:rFonts w:hint="eastAsia" w:ascii="宋体" w:hAnsi="宋体" w:cs="宋体"/>
          <w:bCs/>
          <w:color w:val="auto"/>
          <w:sz w:val="24"/>
          <w:highlight w:val="none"/>
        </w:rPr>
        <w:t>. 发包人</w:t>
      </w:r>
      <w:bookmarkEnd w:id="175"/>
      <w:bookmarkEnd w:id="176"/>
    </w:p>
    <w:bookmarkEnd w:id="177"/>
    <w:bookmarkEnd w:id="178"/>
    <w:bookmarkEnd w:id="179"/>
    <w:bookmarkEnd w:id="180"/>
    <w:bookmarkEnd w:id="181"/>
    <w:bookmarkEnd w:id="182"/>
    <w:bookmarkEnd w:id="183"/>
    <w:bookmarkEnd w:id="184"/>
    <w:bookmarkEnd w:id="185"/>
    <w:bookmarkEnd w:id="186"/>
    <w:p w14:paraId="54CC0EE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87" w:name="_Toc38747135"/>
      <w:r>
        <w:rPr>
          <w:rFonts w:hint="eastAsia" w:ascii="宋体" w:hAnsi="宋体" w:cs="宋体"/>
          <w:color w:val="auto"/>
          <w:sz w:val="24"/>
          <w:highlight w:val="none"/>
        </w:rPr>
        <w:t>2.2 发包人代表</w:t>
      </w:r>
      <w:bookmarkEnd w:id="187"/>
    </w:p>
    <w:p w14:paraId="5C06176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88" w:name="_Toc38747136"/>
      <w:r>
        <w:rPr>
          <w:rFonts w:hint="eastAsia" w:ascii="宋体" w:hAnsi="宋体" w:cs="宋体"/>
          <w:color w:val="auto"/>
          <w:sz w:val="24"/>
          <w:highlight w:val="none"/>
        </w:rPr>
        <w:t>发包人代表：</w:t>
      </w:r>
      <w:bookmarkEnd w:id="188"/>
    </w:p>
    <w:p w14:paraId="7F492B5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89" w:name="_Toc38747137"/>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89"/>
    </w:p>
    <w:p w14:paraId="0608B5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90" w:name="_Toc38747138"/>
      <w:r>
        <w:rPr>
          <w:rFonts w:hint="eastAsia" w:ascii="宋体" w:hAnsi="宋体" w:cs="宋体"/>
          <w:color w:val="auto"/>
          <w:sz w:val="24"/>
          <w:highlight w:val="none"/>
        </w:rPr>
        <w:t>身份证号：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90"/>
    </w:p>
    <w:p w14:paraId="76347DF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91" w:name="_Toc38747139"/>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91"/>
    </w:p>
    <w:p w14:paraId="717B8D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92" w:name="_Toc38747140"/>
      <w:r>
        <w:rPr>
          <w:rFonts w:hint="eastAsia" w:ascii="宋体" w:hAnsi="宋体" w:cs="宋体"/>
          <w:color w:val="auto"/>
          <w:sz w:val="24"/>
          <w:highlight w:val="none"/>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92"/>
    </w:p>
    <w:p w14:paraId="7B45B4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93" w:name="_Toc38747141"/>
      <w:r>
        <w:rPr>
          <w:rFonts w:hint="eastAsia" w:ascii="宋体" w:hAnsi="宋体" w:cs="宋体"/>
          <w:color w:val="auto"/>
          <w:sz w:val="24"/>
          <w:highlight w:val="none"/>
        </w:rPr>
        <w:t>电子信箱：</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93"/>
    </w:p>
    <w:p w14:paraId="4A634B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94" w:name="_Toc38747142"/>
      <w:r>
        <w:rPr>
          <w:rFonts w:hint="eastAsia" w:ascii="宋体" w:hAnsi="宋体" w:cs="宋体"/>
          <w:color w:val="auto"/>
          <w:sz w:val="24"/>
          <w:highlight w:val="none"/>
        </w:rPr>
        <w:t>通信地址：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194"/>
    </w:p>
    <w:p w14:paraId="2E8AF77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b/>
          <w:color w:val="auto"/>
          <w:sz w:val="24"/>
          <w:highlight w:val="none"/>
        </w:rPr>
      </w:pPr>
      <w:bookmarkStart w:id="195" w:name="_Toc38747143"/>
      <w:r>
        <w:rPr>
          <w:rFonts w:hint="eastAsia" w:ascii="宋体" w:hAnsi="宋体" w:cs="宋体"/>
          <w:color w:val="auto"/>
          <w:sz w:val="24"/>
          <w:highlight w:val="none"/>
        </w:rPr>
        <w:t>发包人对发包人代表的授权范围如下：</w:t>
      </w:r>
      <w:r>
        <w:rPr>
          <w:rFonts w:hint="eastAsia" w:ascii="宋体" w:hAnsi="宋体" w:cs="宋体"/>
          <w:color w:val="auto"/>
          <w:sz w:val="24"/>
          <w:highlight w:val="none"/>
          <w:u w:val="single"/>
        </w:rPr>
        <w:t xml:space="preserve"> 经发包人授权并在授权范围内代表发包人行使业主权利，全面负责本工程组织、协调和管理，签发或签署各种相关指令、报表及支付凭证，处理施工过程中的各有关事宜</w:t>
      </w:r>
      <w:r>
        <w:rPr>
          <w:rFonts w:hint="eastAsia" w:ascii="宋体" w:hAnsi="宋体" w:cs="宋体"/>
          <w:color w:val="auto"/>
          <w:sz w:val="24"/>
          <w:highlight w:val="none"/>
        </w:rPr>
        <w:t>。</w:t>
      </w:r>
      <w:bookmarkEnd w:id="195"/>
    </w:p>
    <w:p w14:paraId="061438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96" w:name="_Toc38747144"/>
      <w:r>
        <w:rPr>
          <w:rFonts w:hint="eastAsia" w:ascii="宋体" w:hAnsi="宋体" w:cs="宋体"/>
          <w:color w:val="auto"/>
          <w:sz w:val="24"/>
          <w:highlight w:val="none"/>
        </w:rPr>
        <w:t>2.4 施工现场、施工条件和基础资料的提供</w:t>
      </w:r>
      <w:bookmarkEnd w:id="196"/>
    </w:p>
    <w:p w14:paraId="603964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97" w:name="_Toc38747145"/>
      <w:r>
        <w:rPr>
          <w:rFonts w:hint="eastAsia" w:ascii="宋体" w:hAnsi="宋体" w:cs="宋体"/>
          <w:color w:val="auto"/>
          <w:sz w:val="24"/>
          <w:highlight w:val="none"/>
        </w:rPr>
        <w:t>2.4.1 提供施工现场</w:t>
      </w:r>
      <w:bookmarkEnd w:id="197"/>
    </w:p>
    <w:p w14:paraId="10732EC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98" w:name="_Toc38747146"/>
      <w:r>
        <w:rPr>
          <w:rFonts w:hint="eastAsia" w:ascii="宋体" w:hAnsi="宋体" w:cs="宋体"/>
          <w:color w:val="auto"/>
          <w:sz w:val="24"/>
          <w:highlight w:val="none"/>
        </w:rPr>
        <w:t>关于发包人移交施工现场的期限要求：</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198"/>
    </w:p>
    <w:p w14:paraId="630F37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199" w:name="_Toc38747147"/>
      <w:r>
        <w:rPr>
          <w:rFonts w:hint="eastAsia" w:ascii="宋体" w:hAnsi="宋体" w:cs="宋体"/>
          <w:color w:val="auto"/>
          <w:sz w:val="24"/>
          <w:highlight w:val="none"/>
        </w:rPr>
        <w:t>2.4.2 提供施工条件</w:t>
      </w:r>
      <w:bookmarkEnd w:id="199"/>
    </w:p>
    <w:p w14:paraId="0FC116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200" w:name="_Toc38747148"/>
      <w:r>
        <w:rPr>
          <w:rFonts w:hint="eastAsia" w:ascii="宋体" w:hAnsi="宋体" w:cs="宋体"/>
          <w:color w:val="auto"/>
          <w:sz w:val="24"/>
          <w:highlight w:val="none"/>
        </w:rPr>
        <w:t>关于发包人应负责提供施工所需要的条件，包括：</w:t>
      </w:r>
      <w:r>
        <w:rPr>
          <w:rFonts w:hint="eastAsia" w:ascii="宋体" w:hAnsi="宋体" w:cs="宋体"/>
          <w:color w:val="auto"/>
          <w:sz w:val="24"/>
          <w:highlight w:val="none"/>
          <w:u w:val="single"/>
        </w:rPr>
        <w:t>（1）临时用地、用电、用水均由承包人自行解决。所需水、电费用均由承包人自行配备电箱、水表、电表；由承包人在发包人指定位置安装水电表，接出符合安全要求的供电电缆，供水管线（含消防栓）至施工及生活区域。水电管理费由总承包单位统一进行，承包人必须确保现场接电、接水及相关事宜的安全到位。水电费结算方式：承包人单独接水表、电表，水表、电表费用及水、电费用已包含在承包价中。（2）施工场外的道路已开通，施工场内道路由承包人负责开通。（3）进场施工后由承包人召集有关单位现场交底。（4）由发包人办理施工所需证件、批件，承包人协助。（5）水准点与座标控制点交验要求：开工前，承包人、发包人双方在监理工程师的见证下进行现场测量控制点的校验，并由承包人提供书面报告，提交监理和发包人。（6）开工前，发包人组织设计、监理等相关单位对施工图纸进行初次会审交底，以后根据施工组织设计进一步对施工图纸的会审和详细交底。（7）发包人负责召集相关单位对地下管线、邻近建筑物、构筑物（含文物保护建筑）、古树名木及其他需保护物进行交底；由施工单位对所有地下管线、邻近建筑物、构筑物（含文物保护建筑）、古树名木及其他保护物进行保护。因以上两项产生的费用均由承包人承担。</w:t>
      </w:r>
      <w:bookmarkEnd w:id="200"/>
    </w:p>
    <w:p w14:paraId="351AA2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01" w:name="_Toc38747149"/>
      <w:r>
        <w:rPr>
          <w:rFonts w:hint="eastAsia" w:ascii="宋体" w:hAnsi="宋体" w:cs="宋体"/>
          <w:color w:val="auto"/>
          <w:sz w:val="24"/>
          <w:highlight w:val="none"/>
        </w:rPr>
        <w:t>2.5 资金来源证明及支付担保</w:t>
      </w:r>
      <w:bookmarkEnd w:id="201"/>
    </w:p>
    <w:p w14:paraId="71D7823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02" w:name="_Toc38747150"/>
      <w:r>
        <w:rPr>
          <w:rFonts w:hint="eastAsia" w:ascii="宋体" w:hAnsi="宋体" w:cs="宋体"/>
          <w:color w:val="auto"/>
          <w:sz w:val="24"/>
          <w:highlight w:val="none"/>
        </w:rPr>
        <w:t>发包人提供资金来源证明的期限要求：</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202"/>
    </w:p>
    <w:p w14:paraId="32A7B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03" w:name="_Toc38747151"/>
      <w:r>
        <w:rPr>
          <w:rFonts w:hint="eastAsia" w:ascii="宋体" w:hAnsi="宋体" w:cs="宋体"/>
          <w:color w:val="auto"/>
          <w:sz w:val="24"/>
          <w:highlight w:val="none"/>
        </w:rPr>
        <w:t>发包人是否提供支付担保：</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203"/>
    </w:p>
    <w:p w14:paraId="3C945A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eastAsia="宋体" w:cs="宋体"/>
          <w:color w:val="auto"/>
          <w:sz w:val="24"/>
          <w:highlight w:val="none"/>
          <w:u w:val="single"/>
          <w:lang w:eastAsia="zh-CN"/>
        </w:rPr>
      </w:pPr>
      <w:bookmarkStart w:id="204" w:name="_Toc38747152"/>
      <w:r>
        <w:rPr>
          <w:rFonts w:hint="eastAsia" w:ascii="宋体" w:hAnsi="宋体" w:cs="宋体"/>
          <w:color w:val="auto"/>
          <w:sz w:val="24"/>
          <w:highlight w:val="none"/>
        </w:rPr>
        <w:t>发包人提供支付担保的形式：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bookmarkEnd w:id="204"/>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lang w:eastAsia="zh-CN"/>
        </w:rPr>
        <w:t>。</w:t>
      </w:r>
    </w:p>
    <w:p w14:paraId="4E42AC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bCs/>
          <w:color w:val="auto"/>
          <w:sz w:val="24"/>
          <w:highlight w:val="none"/>
        </w:rPr>
      </w:pPr>
      <w:bookmarkStart w:id="205" w:name="_Toc351203635"/>
      <w:bookmarkStart w:id="206" w:name="_Toc38747153"/>
      <w:r>
        <w:rPr>
          <w:rFonts w:hint="eastAsia" w:ascii="宋体" w:hAnsi="宋体" w:cs="宋体"/>
          <w:bCs/>
          <w:color w:val="auto"/>
          <w:sz w:val="24"/>
          <w:highlight w:val="none"/>
        </w:rPr>
        <w:t>3</w:t>
      </w:r>
      <w:bookmarkStart w:id="207" w:name="_Toc296346659"/>
      <w:bookmarkStart w:id="208" w:name="_Toc296503158"/>
      <w:bookmarkStart w:id="209" w:name="_Toc296891198"/>
      <w:bookmarkStart w:id="210" w:name="_Toc297048344"/>
      <w:bookmarkStart w:id="211" w:name="_Toc296944497"/>
      <w:bookmarkStart w:id="212" w:name="_Toc296890986"/>
      <w:bookmarkStart w:id="213" w:name="_Toc297120458"/>
      <w:bookmarkStart w:id="214" w:name="_Toc296347157"/>
      <w:bookmarkStart w:id="215" w:name="_Toc292559868"/>
      <w:bookmarkStart w:id="216" w:name="_Toc292559363"/>
      <w:r>
        <w:rPr>
          <w:rFonts w:hint="eastAsia" w:ascii="宋体" w:hAnsi="宋体" w:cs="宋体"/>
          <w:bCs/>
          <w:color w:val="auto"/>
          <w:sz w:val="24"/>
          <w:highlight w:val="none"/>
        </w:rPr>
        <w:t>. 承包人</w:t>
      </w:r>
      <w:bookmarkEnd w:id="205"/>
      <w:bookmarkEnd w:id="206"/>
    </w:p>
    <w:bookmarkEnd w:id="207"/>
    <w:bookmarkEnd w:id="208"/>
    <w:bookmarkEnd w:id="209"/>
    <w:bookmarkEnd w:id="210"/>
    <w:bookmarkEnd w:id="211"/>
    <w:bookmarkEnd w:id="212"/>
    <w:bookmarkEnd w:id="213"/>
    <w:bookmarkEnd w:id="214"/>
    <w:bookmarkEnd w:id="215"/>
    <w:bookmarkEnd w:id="216"/>
    <w:p w14:paraId="4C3F87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17" w:name="_Toc38747154"/>
      <w:r>
        <w:rPr>
          <w:rFonts w:hint="eastAsia" w:ascii="宋体" w:hAnsi="宋体" w:cs="宋体"/>
          <w:color w:val="auto"/>
          <w:sz w:val="24"/>
          <w:highlight w:val="none"/>
        </w:rPr>
        <w:t>3.1 承包人的一般义务</w:t>
      </w:r>
      <w:bookmarkEnd w:id="217"/>
    </w:p>
    <w:p w14:paraId="4C696D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218" w:name="_Toc38747155"/>
      <w:r>
        <w:rPr>
          <w:rFonts w:hint="eastAsia" w:ascii="宋体" w:hAnsi="宋体" w:cs="宋体"/>
          <w:color w:val="auto"/>
          <w:sz w:val="24"/>
          <w:highlight w:val="none"/>
        </w:rPr>
        <w:t>（5）承包人提交的竣工资料的内容：</w:t>
      </w:r>
      <w:bookmarkEnd w:id="218"/>
      <w:r>
        <w:rPr>
          <w:rFonts w:hint="eastAsia" w:ascii="宋体" w:hAnsi="宋体" w:cs="宋体"/>
          <w:color w:val="auto"/>
          <w:sz w:val="24"/>
          <w:highlight w:val="none"/>
          <w:u w:val="single"/>
        </w:rPr>
        <w:t>提供符合《建设工程文件档案整理规范》(GB/T50328―2001)及工程所在地建设工程档案归档规范要求、工程所在地城建档案馆和建设行政管理部门要求的竣工验收报告、竣工图、工程资料及工程照片、影像文件等竣工资料，包括但不限于以下资料：中标通知书、会议纪要、施工合同及附件、施工单位资质证书、图纸会审纪要、开工报告和竣工报告及工期延期联系单、竣工验收记录、招标文件及招标工程量清单及电子盘、招标答疑纪要、招标补遗、投标文件商务标及电子盘、投标文件技术标、地勘报告、施工图及电子盘；承包人、发包人、监理人按规定签字认可的竣工图纸、经审定的施工组织设计、施工方案或专项施工方案、原始地形、地貌抄测记录、材料、设备认质核价单、设计变更单、技术核定单、现场签证单、甲供材料(设备)收货验收签收单、隐蔽工程验收记录（签字盖章手续齐全且清楚）、吊装工程记录、安装工程调试记录、调试报告、工程照片、影响资料、与工程结算有关的“发包方通知、指令、会议纪要、往来函件、工程洽商记录等”、建设单位付款情况表、各标段、各专业施工单位涉及交叉的施工范围确认文件、结算资料报送承诺书、其他有关影响工程造价、工期等资料、移交资料签收表。竣工图纸包括整个工程的实际施工和安装图纸，包括整个工程进行期间作过的任何补充和修改的图纸。所有竣工图纸、竣工资料必须符合各级建设行政管理部门、档案管理部门及发包人的要求</w:t>
      </w:r>
      <w:r>
        <w:rPr>
          <w:rFonts w:hint="eastAsia" w:ascii="宋体" w:hAnsi="宋体" w:cs="宋体"/>
          <w:color w:val="auto"/>
          <w:sz w:val="24"/>
          <w:highlight w:val="none"/>
        </w:rPr>
        <w:t>。</w:t>
      </w:r>
    </w:p>
    <w:p w14:paraId="2E1873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19" w:name="_Toc38747156"/>
      <w:r>
        <w:rPr>
          <w:rFonts w:hint="eastAsia" w:ascii="宋体" w:hAnsi="宋体" w:cs="宋体"/>
          <w:color w:val="auto"/>
          <w:sz w:val="24"/>
          <w:highlight w:val="none"/>
        </w:rPr>
        <w:t>承包人需要提交的竣工资料套数：</w:t>
      </w:r>
      <w:r>
        <w:rPr>
          <w:rFonts w:hint="eastAsia" w:ascii="宋体" w:hAnsi="宋体" w:cs="宋体"/>
          <w:color w:val="auto"/>
          <w:sz w:val="24"/>
          <w:highlight w:val="none"/>
          <w:u w:val="single"/>
        </w:rPr>
        <w:t xml:space="preserve">     三套                  </w:t>
      </w:r>
      <w:r>
        <w:rPr>
          <w:rFonts w:hint="eastAsia" w:ascii="宋体" w:hAnsi="宋体" w:cs="宋体"/>
          <w:color w:val="auto"/>
          <w:sz w:val="24"/>
          <w:highlight w:val="none"/>
        </w:rPr>
        <w:t>。</w:t>
      </w:r>
      <w:bookmarkEnd w:id="219"/>
    </w:p>
    <w:p w14:paraId="6DB2FA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20" w:name="_Toc38747157"/>
      <w:r>
        <w:rPr>
          <w:rFonts w:hint="eastAsia" w:ascii="宋体" w:hAnsi="宋体" w:cs="宋体"/>
          <w:color w:val="auto"/>
          <w:sz w:val="24"/>
          <w:highlight w:val="none"/>
        </w:rPr>
        <w:t>承包人提交的竣工资料的费用承担：</w:t>
      </w:r>
      <w:r>
        <w:rPr>
          <w:rFonts w:hint="eastAsia" w:ascii="宋体" w:hAnsi="宋体" w:cs="宋体"/>
          <w:color w:val="auto"/>
          <w:sz w:val="24"/>
          <w:highlight w:val="none"/>
          <w:u w:val="single"/>
        </w:rPr>
        <w:t xml:space="preserve">     由承包人承担                </w:t>
      </w:r>
      <w:r>
        <w:rPr>
          <w:rFonts w:hint="eastAsia" w:ascii="宋体" w:hAnsi="宋体" w:cs="宋体"/>
          <w:color w:val="auto"/>
          <w:sz w:val="24"/>
          <w:highlight w:val="none"/>
        </w:rPr>
        <w:t>。</w:t>
      </w:r>
      <w:bookmarkEnd w:id="220"/>
    </w:p>
    <w:p w14:paraId="197DCB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21" w:name="_Toc38747158"/>
      <w:r>
        <w:rPr>
          <w:rFonts w:hint="eastAsia" w:ascii="宋体" w:hAnsi="宋体" w:cs="宋体"/>
          <w:color w:val="auto"/>
          <w:sz w:val="24"/>
          <w:highlight w:val="none"/>
        </w:rPr>
        <w:t>承包人提交的竣工资料移交时间：</w:t>
      </w:r>
      <w:r>
        <w:rPr>
          <w:rFonts w:hint="eastAsia" w:ascii="宋体" w:hAnsi="宋体" w:cs="宋体"/>
          <w:color w:val="auto"/>
          <w:sz w:val="24"/>
          <w:highlight w:val="none"/>
          <w:u w:val="single"/>
        </w:rPr>
        <w:t xml:space="preserve">  交(竣)工验收合格后60天内   </w:t>
      </w:r>
      <w:r>
        <w:rPr>
          <w:rFonts w:hint="eastAsia" w:ascii="宋体" w:hAnsi="宋体" w:cs="宋体"/>
          <w:color w:val="auto"/>
          <w:sz w:val="24"/>
          <w:highlight w:val="none"/>
        </w:rPr>
        <w:t>。</w:t>
      </w:r>
      <w:bookmarkEnd w:id="221"/>
    </w:p>
    <w:p w14:paraId="35C228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22" w:name="_Toc38747159"/>
      <w:r>
        <w:rPr>
          <w:rFonts w:hint="eastAsia" w:ascii="宋体" w:hAnsi="宋体" w:cs="宋体"/>
          <w:color w:val="auto"/>
          <w:sz w:val="24"/>
          <w:highlight w:val="none"/>
        </w:rPr>
        <w:t>承包人提交的竣工资料形式要求：</w:t>
      </w:r>
      <w:r>
        <w:rPr>
          <w:rFonts w:hint="eastAsia" w:ascii="宋体" w:hAnsi="宋体" w:cs="宋体"/>
          <w:color w:val="auto"/>
          <w:sz w:val="24"/>
          <w:highlight w:val="none"/>
          <w:u w:val="single"/>
        </w:rPr>
        <w:t>纸质装订，所有竣工图需分别提供纸质及电子版</w:t>
      </w:r>
      <w:r>
        <w:rPr>
          <w:rFonts w:hint="eastAsia" w:ascii="宋体" w:hAnsi="宋体" w:cs="宋体"/>
          <w:color w:val="auto"/>
          <w:sz w:val="24"/>
          <w:highlight w:val="none"/>
        </w:rPr>
        <w:t>。</w:t>
      </w:r>
      <w:bookmarkEnd w:id="222"/>
    </w:p>
    <w:p w14:paraId="6B4FEE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23" w:name="_Toc38747160"/>
      <w:r>
        <w:rPr>
          <w:rFonts w:hint="eastAsia" w:ascii="宋体" w:hAnsi="宋体" w:cs="宋体"/>
          <w:color w:val="auto"/>
          <w:sz w:val="24"/>
          <w:highlight w:val="none"/>
        </w:rPr>
        <w:t>（10）承包人应履行的其他义务：</w:t>
      </w:r>
      <w:bookmarkEnd w:id="223"/>
      <w:bookmarkStart w:id="224" w:name="_Toc38747175"/>
      <w:r>
        <w:rPr>
          <w:rFonts w:hint="eastAsia" w:ascii="宋体" w:hAnsi="宋体" w:cs="宋体"/>
          <w:color w:val="auto"/>
          <w:sz w:val="24"/>
          <w:highlight w:val="none"/>
        </w:rPr>
        <w:t>（10.1）每月20日提供下月计划及当月完成工作量报表一式叁份，如计划有修正，则在保证总工期的情况下提供修正后的计划。（10.2）无偿提供业主办公室2间，费用已在报价中考虑。临时设施区内应统一考虑监理办公用房的布置。（10.3）承包人办理的有关施工场地交通、环卫和施工噪音管理等手续，费用已在报价中考虑。（10.4）做好施工场地周围地下管线和邻近建筑物、构筑物(含文物保护建筑)、古树名木的保护工作。施工范围内的地下管线(或其他需保护物)挖坏，修复及赔偿费用由承包人承担。若承包人对地下管线(或其他需保护物)有不负责任行为导致损坏的，须赔偿三倍的经济损失给管线产权单位。（10.5）施工期间，承包人要做到文明施工，并符合市创建卫生城市的要求，材料堆放整齐，做好工地文明创建工作，在施工过程中如受到有关部门的通报批评，则每次按5000元扣款。（10.6）本工程不计取赶工措施费，工程结算时合同双方须遵守无锡市工程建设管理和工程审计的相关规定。最终以审计结果为准。（10.7）工程竣工后承包人逾期提交合同范围内的工程竣工结算资料，发包人可相应延期支付承包人的工程款。（10.8）本工程如发包人要求提前竣工，承包人必须按照发包人的要求执行，本工程不因此增加任何费用。（10.9）承包人采购或发包人供应的建筑材料，必须符合现行国家质量标准的要求。材料进场时必须附有出厂合格证，并按规定会同发包人（监理）工地代表共同抽样，送质检部门认可有效的检测单位复验，当发包人或质检部门按高于规范和规定的要求另行要求检验试验所发生的复验费以及新材料、新工艺、新设备的试验费、根据有关国家标准或验收规范要求的检验项目的试验费用由发包人承担，因检验不合格导致增加的检验试验费用由承包人承担。经复验合格后的材料，并对该进场后的复验材料进行实物检查，与复验结果相符的才能使用。遵循谁采购谁负责的原则，不合格的材料、设备由材料来源的采购方组织处理、清出现场。（10.10）承包人应按照中标的施工方案组织施工，发包人在必要时有权要求承包人对施工方案作进一步完善，以确保质量与进度，中标价不因此予以调整，除非因发包人原因（如重大设计变更）导致原施工方案无法实施。（10.11）对施工过程中的质量控制的主要要求：施工方法、施工顺序承包人必须严格按发包人（监理）工地代表批准的施工组织设计（施工方案）组织施工，并由发包人（监理）工地代表监督实施。（10.12）若双方对工程质量有争议，由无锡市建设行政主管部门同意的工程质量检测机构鉴定。所需费用及由此造成的损失，由责任方承担。（10.13）自进场之日起，承包人应全面负责照管、维护本工程和用于本工程的材料、设备以及工地范围内既有市政设施，直至工程竣工验收通过，移交手续完备。照管期间，如发生损失，应由承包人自理。为进一步落实工地的安全文明措施，避免遭受意外毁损或盗窃，造成不必要的人身伤害与财产损失，承包人应与工程所在地公安部门办理工地治安、管理手续并支付相应费用。（10.14）安保工作及安全责任：施工中发生的一切质量、安全事故及责任和经济损失均由承包人负责，并接受相关部门的处理。（10.15）对施工过程中出现的工程渣土、建筑、装修垃圾等，承包人将优先考虑采用湿化装卸，使用符合密闭条件的工具，按照核定的载重量，在指定的时间、线路行驶，由此增加的费用承包人应考虑在投标报价中。承包人进场后开工前必须完成对本标段原地面地形的复测工作，并经监理人、发包人抽测确认，结果作为土石方工作量的计算依据。此后，承包人负责保管工地现场，外人倾倒的建筑、生活垃圾等均由承包人清运，费用自理。（10.16）承包人不得拖欠农民工工资。承包人是本工程农民工管理的负责人，全面负责施工过程中农民工的管理、用工合同管理和民工工资发放等工作；承包人必须选择有劳务分包资质的劳务分包企业承担本工程施工任务，所招用农民工必须与施工企业或劳务分包企业签订有效劳动用工合同；承包人在施工过程中，必须确保按规定、按时支付农民工工资，民工工资必须直接发放到民工本人手中；发包人按合同约定支付工程款的，因承包人拖欠农民工工资而发生民工上诉、上访情况，由发包人先行垫付农民工工资及相关费用，垫付费用由发包人按垫付总额乘以N(具体数额见《系数N取值表》）系数向承包人收回，从工程款中直接扣除。若发生农民工讨薪事件，将对承包人处以20000元-100000元/次的罚款，发包人有权从工程款中直接扣除。</w:t>
      </w:r>
      <w:bookmarkEnd w:id="224"/>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3685"/>
        <w:gridCol w:w="2977"/>
      </w:tblGrid>
      <w:tr w14:paraId="035D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7" w:type="dxa"/>
            <w:gridSpan w:val="3"/>
            <w:noWrap w:val="0"/>
            <w:vAlign w:val="center"/>
          </w:tcPr>
          <w:p w14:paraId="312E516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b/>
                <w:bCs/>
                <w:color w:val="auto"/>
                <w:sz w:val="24"/>
                <w:highlight w:val="none"/>
              </w:rPr>
            </w:pPr>
            <w:bookmarkStart w:id="225" w:name="_Toc38747176"/>
            <w:r>
              <w:rPr>
                <w:rFonts w:hint="eastAsia" w:ascii="宋体" w:hAnsi="宋体" w:cs="宋体"/>
                <w:b/>
                <w:bCs/>
                <w:color w:val="auto"/>
                <w:sz w:val="24"/>
                <w:highlight w:val="none"/>
              </w:rPr>
              <w:t>系数N取值表</w:t>
            </w:r>
            <w:bookmarkEnd w:id="225"/>
          </w:p>
        </w:tc>
      </w:tr>
      <w:tr w14:paraId="5252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noWrap w:val="0"/>
            <w:vAlign w:val="center"/>
          </w:tcPr>
          <w:p w14:paraId="28F2CBB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26" w:name="_Toc38747177"/>
            <w:r>
              <w:rPr>
                <w:rFonts w:hint="eastAsia" w:ascii="宋体" w:hAnsi="宋体" w:cs="宋体"/>
                <w:color w:val="auto"/>
                <w:sz w:val="24"/>
                <w:highlight w:val="none"/>
              </w:rPr>
              <w:t>序号</w:t>
            </w:r>
            <w:bookmarkEnd w:id="226"/>
          </w:p>
        </w:tc>
        <w:tc>
          <w:tcPr>
            <w:tcW w:w="3685" w:type="dxa"/>
            <w:noWrap w:val="0"/>
            <w:vAlign w:val="center"/>
          </w:tcPr>
          <w:p w14:paraId="356B503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27" w:name="_Toc38747178"/>
            <w:r>
              <w:rPr>
                <w:rFonts w:hint="eastAsia" w:ascii="宋体" w:hAnsi="宋体" w:cs="宋体"/>
                <w:color w:val="auto"/>
                <w:sz w:val="24"/>
                <w:highlight w:val="none"/>
              </w:rPr>
              <w:t>工程合同造价M（万元）</w:t>
            </w:r>
            <w:bookmarkEnd w:id="227"/>
          </w:p>
        </w:tc>
        <w:tc>
          <w:tcPr>
            <w:tcW w:w="2977" w:type="dxa"/>
            <w:noWrap w:val="0"/>
            <w:vAlign w:val="center"/>
          </w:tcPr>
          <w:p w14:paraId="5555CF9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28" w:name="_Toc38747179"/>
            <w:r>
              <w:rPr>
                <w:rFonts w:hint="eastAsia" w:ascii="宋体" w:hAnsi="宋体" w:cs="宋体"/>
                <w:color w:val="auto"/>
                <w:sz w:val="24"/>
                <w:highlight w:val="none"/>
              </w:rPr>
              <w:t>系数N取值</w:t>
            </w:r>
            <w:bookmarkEnd w:id="228"/>
          </w:p>
        </w:tc>
      </w:tr>
      <w:tr w14:paraId="369B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noWrap w:val="0"/>
            <w:vAlign w:val="center"/>
          </w:tcPr>
          <w:p w14:paraId="23FFAF2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29" w:name="_Toc38747180"/>
            <w:r>
              <w:rPr>
                <w:rFonts w:hint="eastAsia" w:ascii="宋体" w:hAnsi="宋体" w:cs="宋体"/>
                <w:color w:val="auto"/>
                <w:sz w:val="24"/>
                <w:highlight w:val="none"/>
              </w:rPr>
              <w:t>1</w:t>
            </w:r>
            <w:bookmarkEnd w:id="229"/>
          </w:p>
        </w:tc>
        <w:tc>
          <w:tcPr>
            <w:tcW w:w="3685" w:type="dxa"/>
            <w:noWrap w:val="0"/>
            <w:vAlign w:val="center"/>
          </w:tcPr>
          <w:p w14:paraId="3883277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30" w:name="_Toc38747181"/>
            <w:r>
              <w:rPr>
                <w:rFonts w:hint="eastAsia" w:ascii="宋体" w:hAnsi="宋体" w:cs="宋体"/>
                <w:color w:val="auto"/>
                <w:sz w:val="24"/>
                <w:highlight w:val="none"/>
              </w:rPr>
              <w:t>M＜500</w:t>
            </w:r>
            <w:bookmarkEnd w:id="230"/>
          </w:p>
        </w:tc>
        <w:tc>
          <w:tcPr>
            <w:tcW w:w="2977" w:type="dxa"/>
            <w:noWrap w:val="0"/>
            <w:vAlign w:val="center"/>
          </w:tcPr>
          <w:p w14:paraId="6A94C6E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31" w:name="_Toc38747182"/>
            <w:r>
              <w:rPr>
                <w:rFonts w:hint="eastAsia" w:ascii="宋体" w:hAnsi="宋体" w:cs="宋体"/>
                <w:color w:val="auto"/>
                <w:sz w:val="24"/>
                <w:highlight w:val="none"/>
              </w:rPr>
              <w:t>1.5</w:t>
            </w:r>
            <w:bookmarkEnd w:id="231"/>
          </w:p>
        </w:tc>
      </w:tr>
      <w:tr w14:paraId="1A2E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noWrap w:val="0"/>
            <w:vAlign w:val="center"/>
          </w:tcPr>
          <w:p w14:paraId="01B9E06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32" w:name="_Toc38747183"/>
            <w:r>
              <w:rPr>
                <w:rFonts w:hint="eastAsia" w:ascii="宋体" w:hAnsi="宋体" w:cs="宋体"/>
                <w:color w:val="auto"/>
                <w:sz w:val="24"/>
                <w:highlight w:val="none"/>
              </w:rPr>
              <w:t>2</w:t>
            </w:r>
            <w:bookmarkEnd w:id="232"/>
          </w:p>
        </w:tc>
        <w:tc>
          <w:tcPr>
            <w:tcW w:w="3685" w:type="dxa"/>
            <w:noWrap w:val="0"/>
            <w:vAlign w:val="center"/>
          </w:tcPr>
          <w:p w14:paraId="61FA6A5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33" w:name="_Toc38747184"/>
            <w:r>
              <w:rPr>
                <w:rFonts w:hint="eastAsia" w:ascii="宋体" w:hAnsi="宋体" w:cs="宋体"/>
                <w:color w:val="auto"/>
                <w:sz w:val="24"/>
                <w:highlight w:val="none"/>
              </w:rPr>
              <w:t>500 ≤M＜1000</w:t>
            </w:r>
            <w:bookmarkEnd w:id="233"/>
          </w:p>
        </w:tc>
        <w:tc>
          <w:tcPr>
            <w:tcW w:w="2977" w:type="dxa"/>
            <w:noWrap w:val="0"/>
            <w:vAlign w:val="center"/>
          </w:tcPr>
          <w:p w14:paraId="6DA9A7D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34" w:name="_Toc38747185"/>
            <w:r>
              <w:rPr>
                <w:rFonts w:hint="eastAsia" w:ascii="宋体" w:hAnsi="宋体" w:cs="宋体"/>
                <w:color w:val="auto"/>
                <w:sz w:val="24"/>
                <w:highlight w:val="none"/>
              </w:rPr>
              <w:t>1.3</w:t>
            </w:r>
            <w:bookmarkEnd w:id="234"/>
          </w:p>
        </w:tc>
      </w:tr>
      <w:tr w14:paraId="2726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noWrap w:val="0"/>
            <w:vAlign w:val="center"/>
          </w:tcPr>
          <w:p w14:paraId="062C5CE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35" w:name="_Toc38747186"/>
            <w:r>
              <w:rPr>
                <w:rFonts w:hint="eastAsia" w:ascii="宋体" w:hAnsi="宋体" w:cs="宋体"/>
                <w:color w:val="auto"/>
                <w:sz w:val="24"/>
                <w:highlight w:val="none"/>
              </w:rPr>
              <w:t>3</w:t>
            </w:r>
            <w:bookmarkEnd w:id="235"/>
          </w:p>
        </w:tc>
        <w:tc>
          <w:tcPr>
            <w:tcW w:w="3685" w:type="dxa"/>
            <w:noWrap w:val="0"/>
            <w:vAlign w:val="center"/>
          </w:tcPr>
          <w:p w14:paraId="3F766BA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36" w:name="_Toc38747187"/>
            <w:r>
              <w:rPr>
                <w:rFonts w:hint="eastAsia" w:ascii="宋体" w:hAnsi="宋体" w:cs="宋体"/>
                <w:color w:val="auto"/>
                <w:sz w:val="24"/>
                <w:highlight w:val="none"/>
              </w:rPr>
              <w:t>1000≤M＜5000</w:t>
            </w:r>
            <w:bookmarkEnd w:id="236"/>
          </w:p>
        </w:tc>
        <w:tc>
          <w:tcPr>
            <w:tcW w:w="2977" w:type="dxa"/>
            <w:noWrap w:val="0"/>
            <w:vAlign w:val="center"/>
          </w:tcPr>
          <w:p w14:paraId="7ADD230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37" w:name="_Toc38747188"/>
            <w:r>
              <w:rPr>
                <w:rFonts w:hint="eastAsia" w:ascii="宋体" w:hAnsi="宋体" w:cs="宋体"/>
                <w:color w:val="auto"/>
                <w:sz w:val="24"/>
                <w:highlight w:val="none"/>
              </w:rPr>
              <w:t>1.2</w:t>
            </w:r>
            <w:bookmarkEnd w:id="237"/>
          </w:p>
        </w:tc>
      </w:tr>
      <w:tr w14:paraId="426F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noWrap w:val="0"/>
            <w:vAlign w:val="center"/>
          </w:tcPr>
          <w:p w14:paraId="1DBDBF7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38" w:name="_Toc38747189"/>
            <w:r>
              <w:rPr>
                <w:rFonts w:hint="eastAsia" w:ascii="宋体" w:hAnsi="宋体" w:cs="宋体"/>
                <w:color w:val="auto"/>
                <w:sz w:val="24"/>
                <w:highlight w:val="none"/>
              </w:rPr>
              <w:t>4</w:t>
            </w:r>
            <w:bookmarkEnd w:id="238"/>
          </w:p>
        </w:tc>
        <w:tc>
          <w:tcPr>
            <w:tcW w:w="3685" w:type="dxa"/>
            <w:noWrap w:val="0"/>
            <w:vAlign w:val="center"/>
          </w:tcPr>
          <w:p w14:paraId="0B677B6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39" w:name="_Toc38747190"/>
            <w:r>
              <w:rPr>
                <w:rFonts w:hint="eastAsia" w:ascii="宋体" w:hAnsi="宋体" w:cs="宋体"/>
                <w:color w:val="auto"/>
                <w:sz w:val="24"/>
                <w:highlight w:val="none"/>
              </w:rPr>
              <w:t>M≥5000</w:t>
            </w:r>
            <w:bookmarkEnd w:id="239"/>
          </w:p>
        </w:tc>
        <w:tc>
          <w:tcPr>
            <w:tcW w:w="2977" w:type="dxa"/>
            <w:noWrap w:val="0"/>
            <w:vAlign w:val="center"/>
          </w:tcPr>
          <w:p w14:paraId="1605BC4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color w:val="auto"/>
                <w:sz w:val="24"/>
                <w:highlight w:val="none"/>
              </w:rPr>
            </w:pPr>
            <w:bookmarkStart w:id="240" w:name="_Toc38747191"/>
            <w:r>
              <w:rPr>
                <w:rFonts w:hint="eastAsia" w:ascii="宋体" w:hAnsi="宋体" w:cs="宋体"/>
                <w:color w:val="auto"/>
                <w:sz w:val="24"/>
                <w:highlight w:val="none"/>
              </w:rPr>
              <w:t>1.1</w:t>
            </w:r>
            <w:bookmarkEnd w:id="240"/>
          </w:p>
        </w:tc>
      </w:tr>
    </w:tbl>
    <w:p w14:paraId="13883A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41" w:name="_Toc38747193"/>
      <w:r>
        <w:rPr>
          <w:rFonts w:hint="eastAsia" w:ascii="宋体" w:hAnsi="宋体" w:cs="宋体"/>
          <w:color w:val="auto"/>
          <w:sz w:val="24"/>
          <w:highlight w:val="none"/>
        </w:rPr>
        <w:t>（10.17）总包单位应全力配合好分包单位及其他现场作业单位的施工，不得以任何名义加收配合费或其他任何费用。</w:t>
      </w:r>
    </w:p>
    <w:p w14:paraId="3B30A81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r>
        <w:rPr>
          <w:rFonts w:hint="eastAsia" w:ascii="宋体" w:hAnsi="宋体" w:cs="宋体"/>
          <w:color w:val="auto"/>
          <w:sz w:val="24"/>
          <w:highlight w:val="none"/>
        </w:rPr>
        <w:t>3.2 项目经理</w:t>
      </w:r>
      <w:bookmarkEnd w:id="241"/>
    </w:p>
    <w:p w14:paraId="56AC9E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42" w:name="_Toc38747194"/>
      <w:r>
        <w:rPr>
          <w:rFonts w:hint="eastAsia" w:ascii="宋体" w:hAnsi="宋体" w:cs="宋体"/>
          <w:color w:val="auto"/>
          <w:kern w:val="0"/>
          <w:sz w:val="24"/>
          <w:highlight w:val="none"/>
        </w:rPr>
        <w:t xml:space="preserve">3.2.1 </w:t>
      </w:r>
      <w:r>
        <w:rPr>
          <w:rFonts w:hint="eastAsia" w:ascii="宋体" w:hAnsi="宋体" w:cs="宋体"/>
          <w:color w:val="auto"/>
          <w:sz w:val="24"/>
          <w:highlight w:val="none"/>
        </w:rPr>
        <w:t>项目经理：</w:t>
      </w:r>
      <w:bookmarkEnd w:id="242"/>
    </w:p>
    <w:p w14:paraId="0A900D2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43" w:name="_Toc38747195"/>
      <w:r>
        <w:rPr>
          <w:rFonts w:hint="eastAsia" w:ascii="宋体" w:hAnsi="宋体" w:cs="宋体"/>
          <w:color w:val="auto"/>
          <w:sz w:val="24"/>
          <w:highlight w:val="none"/>
        </w:rPr>
        <w:t>姓    名：</w:t>
      </w:r>
      <w:r>
        <w:rPr>
          <w:rFonts w:hint="eastAsia" w:ascii="宋体" w:hAnsi="宋体" w:cs="宋体"/>
          <w:color w:val="auto"/>
          <w:sz w:val="24"/>
          <w:highlight w:val="none"/>
          <w:u w:val="single"/>
        </w:rPr>
        <w:t>          </w:t>
      </w:r>
      <w:r>
        <w:rPr>
          <w:rFonts w:hint="eastAsia" w:ascii="宋体" w:hAnsi="宋体" w:cs="宋体"/>
          <w:color w:val="auto"/>
          <w:sz w:val="24"/>
          <w:highlight w:val="none"/>
        </w:rPr>
        <w:t>；</w:t>
      </w:r>
      <w:bookmarkEnd w:id="243"/>
    </w:p>
    <w:p w14:paraId="4E29220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44" w:name="_Toc38747196"/>
      <w:r>
        <w:rPr>
          <w:rFonts w:hint="eastAsia" w:ascii="宋体" w:hAnsi="宋体" w:cs="宋体"/>
          <w:color w:val="auto"/>
          <w:sz w:val="24"/>
          <w:highlight w:val="none"/>
        </w:rPr>
        <w:t>身份证号：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244"/>
    </w:p>
    <w:p w14:paraId="0073BA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45" w:name="_Toc38747197"/>
      <w:r>
        <w:rPr>
          <w:rFonts w:hint="eastAsia" w:ascii="宋体" w:hAnsi="宋体" w:cs="宋体"/>
          <w:color w:val="auto"/>
          <w:sz w:val="24"/>
          <w:highlight w:val="none"/>
        </w:rPr>
        <w:t>建造师执业资格等级：</w:t>
      </w:r>
      <w:r>
        <w:rPr>
          <w:rFonts w:hint="eastAsia" w:ascii="宋体" w:hAnsi="宋体" w:cs="宋体"/>
          <w:color w:val="auto"/>
          <w:sz w:val="24"/>
          <w:highlight w:val="none"/>
          <w:u w:val="single"/>
        </w:rPr>
        <w:t>/ </w:t>
      </w:r>
      <w:r>
        <w:rPr>
          <w:rFonts w:hint="eastAsia" w:ascii="宋体" w:hAnsi="宋体" w:cs="宋体"/>
          <w:color w:val="auto"/>
          <w:sz w:val="24"/>
          <w:highlight w:val="none"/>
        </w:rPr>
        <w:t>；</w:t>
      </w:r>
      <w:bookmarkEnd w:id="245"/>
    </w:p>
    <w:p w14:paraId="7756EF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46" w:name="_Toc38747198"/>
      <w:r>
        <w:rPr>
          <w:rFonts w:hint="eastAsia" w:ascii="宋体" w:hAnsi="宋体" w:cs="宋体"/>
          <w:color w:val="auto"/>
          <w:sz w:val="24"/>
          <w:highlight w:val="none"/>
        </w:rPr>
        <w:t>建造师注册证书号：</w:t>
      </w:r>
      <w:r>
        <w:rPr>
          <w:rFonts w:hint="eastAsia" w:ascii="宋体" w:hAnsi="宋体" w:cs="宋体"/>
          <w:color w:val="auto"/>
          <w:sz w:val="24"/>
          <w:highlight w:val="none"/>
          <w:u w:val="single"/>
        </w:rPr>
        <w:t>/</w:t>
      </w:r>
      <w:r>
        <w:rPr>
          <w:rFonts w:hint="eastAsia" w:ascii="宋体" w:hAnsi="宋体" w:cs="宋体"/>
          <w:color w:val="auto"/>
          <w:sz w:val="24"/>
          <w:highlight w:val="none"/>
        </w:rPr>
        <w:t>；</w:t>
      </w:r>
      <w:bookmarkEnd w:id="246"/>
    </w:p>
    <w:p w14:paraId="363E5B1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47" w:name="_Toc38747199"/>
      <w:r>
        <w:rPr>
          <w:rFonts w:hint="eastAsia" w:ascii="宋体" w:hAnsi="宋体" w:cs="宋体"/>
          <w:color w:val="auto"/>
          <w:sz w:val="24"/>
          <w:highlight w:val="none"/>
        </w:rPr>
        <w:t>建造师执业印章号：</w:t>
      </w:r>
      <w:r>
        <w:rPr>
          <w:rFonts w:hint="eastAsia" w:ascii="宋体" w:hAnsi="宋体" w:cs="宋体"/>
          <w:color w:val="auto"/>
          <w:sz w:val="24"/>
          <w:highlight w:val="none"/>
          <w:u w:val="single"/>
        </w:rPr>
        <w:t>/</w:t>
      </w:r>
      <w:r>
        <w:rPr>
          <w:rFonts w:hint="eastAsia" w:ascii="宋体" w:hAnsi="宋体" w:cs="宋体"/>
          <w:color w:val="auto"/>
          <w:sz w:val="24"/>
          <w:highlight w:val="none"/>
        </w:rPr>
        <w:t>；</w:t>
      </w:r>
      <w:bookmarkEnd w:id="247"/>
    </w:p>
    <w:p w14:paraId="1A06A1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48" w:name="_Toc38747200"/>
      <w:r>
        <w:rPr>
          <w:rFonts w:hint="eastAsia" w:ascii="宋体" w:hAnsi="宋体" w:cs="宋体"/>
          <w:color w:val="auto"/>
          <w:sz w:val="24"/>
          <w:highlight w:val="none"/>
        </w:rPr>
        <w:t>安全生产考核合格证书号：</w:t>
      </w:r>
      <w:r>
        <w:rPr>
          <w:rFonts w:hint="eastAsia" w:ascii="宋体" w:hAnsi="宋体" w:cs="宋体"/>
          <w:color w:val="auto"/>
          <w:sz w:val="24"/>
          <w:highlight w:val="none"/>
          <w:u w:val="single"/>
        </w:rPr>
        <w:t>/</w:t>
      </w:r>
      <w:r>
        <w:rPr>
          <w:rFonts w:hint="eastAsia" w:ascii="宋体" w:hAnsi="宋体" w:cs="宋体"/>
          <w:color w:val="auto"/>
          <w:sz w:val="24"/>
          <w:highlight w:val="none"/>
        </w:rPr>
        <w:t>；</w:t>
      </w:r>
      <w:bookmarkEnd w:id="248"/>
    </w:p>
    <w:p w14:paraId="07FEF5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49" w:name="_Toc38747201"/>
      <w:r>
        <w:rPr>
          <w:rFonts w:hint="eastAsia" w:ascii="宋体" w:hAnsi="宋体" w:cs="宋体"/>
          <w:color w:val="auto"/>
          <w:sz w:val="24"/>
          <w:highlight w:val="none"/>
        </w:rPr>
        <w:t>联系电话：</w:t>
      </w:r>
      <w:r>
        <w:rPr>
          <w:rFonts w:hint="eastAsia" w:ascii="宋体" w:hAnsi="宋体" w:cs="宋体"/>
          <w:color w:val="auto"/>
          <w:sz w:val="24"/>
          <w:highlight w:val="none"/>
          <w:u w:val="single"/>
        </w:rPr>
        <w:t>         </w:t>
      </w:r>
      <w:r>
        <w:rPr>
          <w:rFonts w:hint="eastAsia" w:ascii="宋体" w:hAnsi="宋体" w:cs="宋体"/>
          <w:color w:val="auto"/>
          <w:sz w:val="24"/>
          <w:highlight w:val="none"/>
        </w:rPr>
        <w:t>；</w:t>
      </w:r>
      <w:bookmarkEnd w:id="249"/>
    </w:p>
    <w:p w14:paraId="17C69E4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50" w:name="_Toc38747202"/>
      <w:r>
        <w:rPr>
          <w:rFonts w:hint="eastAsia" w:ascii="宋体" w:hAnsi="宋体" w:cs="宋体"/>
          <w:color w:val="auto"/>
          <w:sz w:val="24"/>
          <w:highlight w:val="none"/>
        </w:rPr>
        <w:t>电子信箱：</w:t>
      </w:r>
      <w:r>
        <w:rPr>
          <w:rFonts w:hint="eastAsia" w:ascii="宋体" w:hAnsi="宋体" w:cs="宋体"/>
          <w:color w:val="auto"/>
          <w:sz w:val="24"/>
          <w:highlight w:val="none"/>
          <w:u w:val="single"/>
        </w:rPr>
        <w:t>         </w:t>
      </w:r>
      <w:r>
        <w:rPr>
          <w:rFonts w:hint="eastAsia" w:ascii="宋体" w:hAnsi="宋体" w:cs="宋体"/>
          <w:color w:val="auto"/>
          <w:sz w:val="24"/>
          <w:highlight w:val="none"/>
        </w:rPr>
        <w:t>；</w:t>
      </w:r>
      <w:bookmarkEnd w:id="250"/>
    </w:p>
    <w:p w14:paraId="212471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51" w:name="_Toc38747203"/>
      <w:r>
        <w:rPr>
          <w:rFonts w:hint="eastAsia" w:ascii="宋体" w:hAnsi="宋体" w:cs="宋体"/>
          <w:color w:val="auto"/>
          <w:sz w:val="24"/>
          <w:highlight w:val="none"/>
        </w:rPr>
        <w:t>通信地址：</w:t>
      </w:r>
      <w:r>
        <w:rPr>
          <w:rFonts w:hint="eastAsia" w:ascii="宋体" w:hAnsi="宋体" w:cs="宋体"/>
          <w:color w:val="auto"/>
          <w:sz w:val="24"/>
          <w:highlight w:val="none"/>
          <w:u w:val="single"/>
        </w:rPr>
        <w:t>         </w:t>
      </w:r>
      <w:r>
        <w:rPr>
          <w:rFonts w:hint="eastAsia" w:ascii="宋体" w:hAnsi="宋体" w:cs="宋体"/>
          <w:color w:val="auto"/>
          <w:sz w:val="24"/>
          <w:highlight w:val="none"/>
        </w:rPr>
        <w:t>；</w:t>
      </w:r>
      <w:bookmarkEnd w:id="251"/>
    </w:p>
    <w:p w14:paraId="3C8ED4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52" w:name="_Toc38747204"/>
      <w:r>
        <w:rPr>
          <w:rFonts w:hint="eastAsia" w:ascii="宋体" w:hAnsi="宋体" w:cs="宋体"/>
          <w:color w:val="auto"/>
          <w:sz w:val="24"/>
          <w:highlight w:val="none"/>
        </w:rPr>
        <w:t>承包人对项目经理的授权范围如下：</w:t>
      </w:r>
      <w:r>
        <w:rPr>
          <w:rFonts w:hint="eastAsia" w:ascii="宋体" w:hAnsi="宋体" w:cs="宋体"/>
          <w:color w:val="auto"/>
          <w:sz w:val="24"/>
          <w:highlight w:val="none"/>
          <w:u w:val="single"/>
        </w:rPr>
        <w:t>项目经理代表承包人行使本合同约定的权利，履行本合同的约定义务，负责指导施工文件的编制和工程的实施，确定工程项目的承包人组织架构，组织制定项目的各项管理制度，以承包人的名义处理对内与对外的相关事务，签署合同、签署签证、签发文件，调配并管理进入工程的人力、资金、材料、机械设备等生产要素等工作。除非合同中另有约定，项目经理（全权代表承包人）有权处理为履行本合同而产生所有通知、指示、同意、批准、证书、决定及其他通讯联络。项目经理无论何时离开现场均应指定合适的替代人员并相应地通知发包人且获得发包人书面批准，否则不对发包人产生效力。项目经理的行为后果由承包人予以承担</w:t>
      </w:r>
      <w:r>
        <w:rPr>
          <w:rFonts w:hint="eastAsia" w:ascii="宋体" w:hAnsi="宋体" w:cs="宋体"/>
          <w:color w:val="auto"/>
          <w:sz w:val="24"/>
          <w:highlight w:val="none"/>
        </w:rPr>
        <w:t>。</w:t>
      </w:r>
      <w:bookmarkEnd w:id="252"/>
    </w:p>
    <w:p w14:paraId="7A31C1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kern w:val="0"/>
          <w:sz w:val="24"/>
          <w:highlight w:val="none"/>
        </w:rPr>
      </w:pPr>
      <w:bookmarkStart w:id="253" w:name="_Toc38747205"/>
      <w:r>
        <w:rPr>
          <w:rFonts w:hint="eastAsia" w:ascii="宋体" w:hAnsi="宋体" w:cs="宋体"/>
          <w:color w:val="auto"/>
          <w:kern w:val="0"/>
          <w:sz w:val="24"/>
          <w:highlight w:val="none"/>
        </w:rPr>
        <w:t>关于项目经理每月在施工现场的时间要求：</w:t>
      </w:r>
      <w:r>
        <w:rPr>
          <w:rFonts w:hint="eastAsia" w:ascii="宋体" w:hAnsi="宋体" w:cs="宋体"/>
          <w:color w:val="auto"/>
          <w:sz w:val="24"/>
          <w:highlight w:val="none"/>
          <w:u w:val="single"/>
        </w:rPr>
        <w:t>工作日必须每天驻场，且每天在岗时间不少于8小时。特殊情况下为完成工程进度，发包人如对项目经理在岗时间有特别要求，则承包人及项目经理应遵照执行，且承诺不会向发包人收取任何额外费用</w:t>
      </w:r>
      <w:r>
        <w:rPr>
          <w:rFonts w:hint="eastAsia" w:ascii="宋体" w:hAnsi="宋体" w:cs="宋体"/>
          <w:color w:val="auto"/>
          <w:kern w:val="0"/>
          <w:sz w:val="24"/>
          <w:highlight w:val="none"/>
        </w:rPr>
        <w:t>。</w:t>
      </w:r>
      <w:bookmarkEnd w:id="253"/>
    </w:p>
    <w:p w14:paraId="07F3A6D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kern w:val="0"/>
          <w:sz w:val="24"/>
          <w:highlight w:val="none"/>
        </w:rPr>
      </w:pPr>
      <w:bookmarkStart w:id="254" w:name="_Toc38747206"/>
      <w:r>
        <w:rPr>
          <w:rFonts w:hint="eastAsia" w:ascii="宋体" w:hAnsi="宋体" w:cs="宋体"/>
          <w:color w:val="auto"/>
          <w:kern w:val="0"/>
          <w:sz w:val="24"/>
          <w:highlight w:val="none"/>
        </w:rPr>
        <w:t>承包人未提交劳动合同，以及没有为项目经理缴纳社会保险证明的违约责任：</w:t>
      </w:r>
      <w:r>
        <w:rPr>
          <w:rFonts w:hint="eastAsia" w:ascii="宋体" w:hAnsi="宋体" w:cs="宋体"/>
          <w:color w:val="auto"/>
          <w:kern w:val="0"/>
          <w:sz w:val="24"/>
          <w:highlight w:val="none"/>
          <w:u w:val="single"/>
        </w:rPr>
        <w:t xml:space="preserve"> 按通用合同条款  </w:t>
      </w:r>
      <w:r>
        <w:rPr>
          <w:rFonts w:hint="eastAsia" w:ascii="宋体" w:hAnsi="宋体" w:cs="宋体"/>
          <w:color w:val="auto"/>
          <w:kern w:val="0"/>
          <w:sz w:val="24"/>
          <w:highlight w:val="none"/>
        </w:rPr>
        <w:t>。</w:t>
      </w:r>
      <w:bookmarkEnd w:id="254"/>
    </w:p>
    <w:p w14:paraId="05D467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kern w:val="0"/>
          <w:sz w:val="24"/>
          <w:highlight w:val="none"/>
          <w:u w:val="single"/>
        </w:rPr>
      </w:pPr>
      <w:bookmarkStart w:id="255" w:name="_Toc38747207"/>
      <w:r>
        <w:rPr>
          <w:rFonts w:hint="eastAsia" w:ascii="宋体" w:hAnsi="宋体" w:cs="宋体"/>
          <w:color w:val="auto"/>
          <w:kern w:val="0"/>
          <w:sz w:val="24"/>
          <w:highlight w:val="none"/>
        </w:rPr>
        <w:t>项目经理未经批准，擅自离开施工现场的违约责任：</w:t>
      </w:r>
      <w:r>
        <w:rPr>
          <w:rFonts w:hint="eastAsia" w:ascii="宋体" w:hAnsi="宋体" w:cs="宋体"/>
          <w:color w:val="auto"/>
          <w:kern w:val="0"/>
          <w:sz w:val="24"/>
          <w:highlight w:val="none"/>
          <w:u w:val="single"/>
        </w:rPr>
        <w:t xml:space="preserve">  承包人支付1000元/小时的违约金给发包人 </w:t>
      </w:r>
      <w:r>
        <w:rPr>
          <w:rFonts w:hint="eastAsia" w:ascii="宋体" w:hAnsi="宋体" w:cs="宋体"/>
          <w:color w:val="auto"/>
          <w:kern w:val="0"/>
          <w:sz w:val="24"/>
          <w:highlight w:val="none"/>
        </w:rPr>
        <w:t>。</w:t>
      </w:r>
      <w:bookmarkEnd w:id="255"/>
    </w:p>
    <w:p w14:paraId="77048B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56" w:name="_Toc38747208"/>
      <w:bookmarkStart w:id="257" w:name="_Toc267251442"/>
      <w:r>
        <w:rPr>
          <w:rFonts w:hint="eastAsia" w:ascii="宋体" w:hAnsi="宋体" w:cs="宋体"/>
          <w:color w:val="auto"/>
          <w:sz w:val="24"/>
          <w:highlight w:val="none"/>
        </w:rPr>
        <w:t>3.2.3 承包人擅自更换项目经理的违约责任：</w:t>
      </w:r>
      <w:r>
        <w:rPr>
          <w:rFonts w:hint="eastAsia" w:ascii="宋体" w:hAnsi="宋体" w:cs="宋体"/>
          <w:color w:val="auto"/>
          <w:sz w:val="24"/>
          <w:highlight w:val="none"/>
          <w:u w:val="single"/>
        </w:rPr>
        <w:t xml:space="preserve"> 承包人支付2万元/人的违约金给发包人，同时发包人有权终止合同并有权要求其退场</w:t>
      </w:r>
      <w:r>
        <w:rPr>
          <w:rFonts w:hint="eastAsia" w:ascii="宋体" w:hAnsi="宋体" w:cs="宋体"/>
          <w:color w:val="auto"/>
          <w:sz w:val="24"/>
          <w:highlight w:val="none"/>
        </w:rPr>
        <w:t>。</w:t>
      </w:r>
      <w:bookmarkEnd w:id="256"/>
    </w:p>
    <w:p w14:paraId="58E8C6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58" w:name="_Toc38747209"/>
      <w:r>
        <w:rPr>
          <w:rFonts w:hint="eastAsia" w:ascii="宋体" w:hAnsi="宋体" w:cs="宋体"/>
          <w:color w:val="auto"/>
          <w:sz w:val="24"/>
          <w:highlight w:val="none"/>
        </w:rPr>
        <w:t>3.2.4 承包人无正当理由拒绝更换项目经理的违约责任：</w:t>
      </w:r>
      <w:r>
        <w:rPr>
          <w:rFonts w:hint="eastAsia" w:ascii="宋体" w:hAnsi="宋体" w:cs="宋体"/>
          <w:color w:val="auto"/>
          <w:sz w:val="24"/>
          <w:highlight w:val="none"/>
          <w:u w:val="single"/>
        </w:rPr>
        <w:t>承包人支付2万元/人的违约金给发包人，同时发包人有权终止合同并有权要求其退场</w:t>
      </w:r>
      <w:r>
        <w:rPr>
          <w:rFonts w:hint="eastAsia" w:ascii="宋体" w:hAnsi="宋体" w:cs="宋体"/>
          <w:color w:val="auto"/>
          <w:sz w:val="24"/>
          <w:highlight w:val="none"/>
        </w:rPr>
        <w:t>。</w:t>
      </w:r>
      <w:bookmarkEnd w:id="258"/>
    </w:p>
    <w:p w14:paraId="3A73CA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59" w:name="_Toc38747210"/>
      <w:r>
        <w:rPr>
          <w:rFonts w:hint="eastAsia" w:ascii="宋体" w:hAnsi="宋体" w:cs="宋体"/>
          <w:color w:val="auto"/>
          <w:sz w:val="24"/>
          <w:highlight w:val="none"/>
        </w:rPr>
        <w:t>3.3 承包人人员</w:t>
      </w:r>
      <w:bookmarkEnd w:id="259"/>
    </w:p>
    <w:p w14:paraId="5A04913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60" w:name="_Toc38747211"/>
      <w:r>
        <w:rPr>
          <w:rFonts w:hint="eastAsia" w:ascii="宋体" w:hAnsi="宋体" w:cs="宋体"/>
          <w:color w:val="auto"/>
          <w:sz w:val="24"/>
          <w:highlight w:val="none"/>
        </w:rPr>
        <w:t>3.3.1 承包人提交项目管理机构及施工现场管理人员安排报告的期限：</w:t>
      </w:r>
      <w:r>
        <w:rPr>
          <w:rFonts w:hint="eastAsia" w:ascii="宋体" w:hAnsi="宋体" w:cs="宋体"/>
          <w:color w:val="auto"/>
          <w:sz w:val="24"/>
          <w:highlight w:val="none"/>
          <w:u w:val="single"/>
        </w:rPr>
        <w:t xml:space="preserve">接到开工通知后3天内  </w:t>
      </w:r>
      <w:r>
        <w:rPr>
          <w:rFonts w:hint="eastAsia" w:ascii="宋体" w:hAnsi="宋体" w:cs="宋体"/>
          <w:color w:val="auto"/>
          <w:sz w:val="24"/>
          <w:highlight w:val="none"/>
        </w:rPr>
        <w:t>。</w:t>
      </w:r>
      <w:bookmarkEnd w:id="260"/>
    </w:p>
    <w:p w14:paraId="77CBFB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61" w:name="_Toc38747212"/>
      <w:r>
        <w:rPr>
          <w:rFonts w:hint="eastAsia" w:ascii="宋体" w:hAnsi="宋体" w:cs="宋体"/>
          <w:color w:val="auto"/>
          <w:sz w:val="24"/>
          <w:highlight w:val="none"/>
        </w:rPr>
        <w:t>3.3.3 承包人无正当理由拒绝撤换主要施工管理人员的违约责任：</w:t>
      </w:r>
      <w:r>
        <w:rPr>
          <w:rFonts w:hint="eastAsia" w:ascii="宋体" w:hAnsi="宋体" w:cs="宋体"/>
          <w:color w:val="auto"/>
          <w:sz w:val="24"/>
          <w:highlight w:val="none"/>
          <w:u w:val="single"/>
        </w:rPr>
        <w:t xml:space="preserve"> 承包人支付2万元/人的违约金给发包人，同时发包人有权终止合同并有权要求其退场</w:t>
      </w:r>
      <w:r>
        <w:rPr>
          <w:rFonts w:hint="eastAsia" w:ascii="宋体" w:hAnsi="宋体" w:cs="宋体"/>
          <w:color w:val="auto"/>
          <w:sz w:val="24"/>
          <w:highlight w:val="none"/>
        </w:rPr>
        <w:t>。</w:t>
      </w:r>
      <w:bookmarkEnd w:id="261"/>
    </w:p>
    <w:p w14:paraId="2C7534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262" w:name="_Toc38747213"/>
      <w:r>
        <w:rPr>
          <w:rFonts w:hint="eastAsia" w:ascii="宋体" w:hAnsi="宋体" w:cs="宋体"/>
          <w:color w:val="auto"/>
          <w:sz w:val="24"/>
          <w:highlight w:val="none"/>
        </w:rPr>
        <w:t>3.3.4 承包人主要施工管理人员离开施工现场的批准要求：</w:t>
      </w:r>
      <w:r>
        <w:rPr>
          <w:rFonts w:hint="eastAsia" w:ascii="宋体" w:hAnsi="宋体" w:cs="宋体"/>
          <w:color w:val="auto"/>
          <w:sz w:val="24"/>
          <w:highlight w:val="none"/>
          <w:u w:val="single"/>
        </w:rPr>
        <w:t xml:space="preserve">   按通用合同条款  </w:t>
      </w:r>
      <w:r>
        <w:rPr>
          <w:rFonts w:hint="eastAsia" w:ascii="宋体" w:hAnsi="宋体" w:cs="宋体"/>
          <w:color w:val="auto"/>
          <w:sz w:val="24"/>
          <w:highlight w:val="none"/>
        </w:rPr>
        <w:t>。</w:t>
      </w:r>
      <w:bookmarkEnd w:id="262"/>
    </w:p>
    <w:p w14:paraId="568F7AF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63" w:name="_Toc38747214"/>
      <w:r>
        <w:rPr>
          <w:rFonts w:hint="eastAsia" w:ascii="宋体" w:hAnsi="宋体" w:cs="宋体"/>
          <w:color w:val="auto"/>
          <w:sz w:val="24"/>
          <w:highlight w:val="none"/>
        </w:rPr>
        <w:t>3.3.5承包人擅自更换主要施工管理人员的违约责任：</w:t>
      </w:r>
      <w:r>
        <w:rPr>
          <w:rFonts w:hint="eastAsia" w:ascii="宋体" w:hAnsi="宋体" w:cs="宋体"/>
          <w:color w:val="auto"/>
          <w:sz w:val="24"/>
          <w:highlight w:val="none"/>
          <w:u w:val="single"/>
        </w:rPr>
        <w:t xml:space="preserve"> 承包人支付2万元/人的违约金给发包人，同时发包人有权终止合同并有权要求其退场</w:t>
      </w:r>
      <w:r>
        <w:rPr>
          <w:rFonts w:hint="eastAsia" w:ascii="宋体" w:hAnsi="宋体" w:cs="宋体"/>
          <w:color w:val="auto"/>
          <w:sz w:val="24"/>
          <w:highlight w:val="none"/>
        </w:rPr>
        <w:t>。</w:t>
      </w:r>
      <w:bookmarkEnd w:id="263"/>
    </w:p>
    <w:p w14:paraId="7B6348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64" w:name="_Toc38747215"/>
      <w:r>
        <w:rPr>
          <w:rFonts w:hint="eastAsia" w:ascii="宋体" w:hAnsi="宋体" w:cs="宋体"/>
          <w:color w:val="auto"/>
          <w:sz w:val="24"/>
          <w:highlight w:val="none"/>
        </w:rPr>
        <w:t>承包人主要施工管理人员擅自离开施工现场的违约责任：</w:t>
      </w:r>
      <w:r>
        <w:rPr>
          <w:rFonts w:hint="eastAsia" w:ascii="宋体" w:hAnsi="宋体" w:cs="宋体"/>
          <w:color w:val="auto"/>
          <w:sz w:val="24"/>
          <w:highlight w:val="none"/>
          <w:u w:val="single"/>
        </w:rPr>
        <w:t>承包人支付1000元/小时的违约金给发包人</w:t>
      </w:r>
      <w:r>
        <w:rPr>
          <w:rFonts w:hint="eastAsia" w:ascii="宋体" w:hAnsi="宋体" w:cs="宋体"/>
          <w:color w:val="auto"/>
          <w:sz w:val="24"/>
          <w:highlight w:val="none"/>
        </w:rPr>
        <w:t>。</w:t>
      </w:r>
      <w:bookmarkEnd w:id="264"/>
    </w:p>
    <w:p w14:paraId="273E3B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65" w:name="_Toc38747216"/>
      <w:r>
        <w:rPr>
          <w:rFonts w:hint="eastAsia" w:ascii="宋体" w:hAnsi="宋体" w:cs="宋体"/>
          <w:color w:val="auto"/>
          <w:sz w:val="24"/>
          <w:highlight w:val="none"/>
        </w:rPr>
        <w:t>3</w:t>
      </w:r>
      <w:bookmarkStart w:id="266" w:name="_Toc304295523"/>
      <w:bookmarkStart w:id="267" w:name="_Toc292559364"/>
      <w:bookmarkStart w:id="268" w:name="_Toc296891199"/>
      <w:bookmarkStart w:id="269" w:name="_Toc296503159"/>
      <w:bookmarkStart w:id="270" w:name="_Toc300934945"/>
      <w:bookmarkStart w:id="271" w:name="_Toc296944498"/>
      <w:bookmarkStart w:id="272" w:name="_Toc296346660"/>
      <w:bookmarkStart w:id="273" w:name="_Toc297216151"/>
      <w:bookmarkStart w:id="274" w:name="_Toc297120459"/>
      <w:bookmarkStart w:id="275" w:name="_Toc297048345"/>
      <w:bookmarkStart w:id="276" w:name="_Toc292559869"/>
      <w:bookmarkStart w:id="277" w:name="_Toc296347158"/>
      <w:bookmarkStart w:id="278" w:name="_Toc296890987"/>
      <w:bookmarkStart w:id="279" w:name="_Toc312677988"/>
      <w:bookmarkStart w:id="280" w:name="_Toc303539102"/>
      <w:bookmarkStart w:id="281" w:name="_Toc297123492"/>
      <w:r>
        <w:rPr>
          <w:rFonts w:hint="eastAsia" w:ascii="宋体" w:hAnsi="宋体" w:cs="宋体"/>
          <w:color w:val="auto"/>
          <w:sz w:val="24"/>
          <w:highlight w:val="none"/>
        </w:rPr>
        <w:t>.5 分包</w:t>
      </w:r>
      <w:bookmarkEnd w:id="265"/>
    </w:p>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14:paraId="53CFF8F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282" w:name="_Toc38747217"/>
      <w:r>
        <w:rPr>
          <w:rFonts w:hint="eastAsia" w:ascii="宋体" w:hAnsi="宋体" w:cs="宋体"/>
          <w:color w:val="auto"/>
          <w:sz w:val="24"/>
          <w:highlight w:val="none"/>
        </w:rPr>
        <w:t>3</w:t>
      </w:r>
      <w:bookmarkStart w:id="283" w:name="_Toc297216152"/>
      <w:bookmarkStart w:id="284" w:name="_Toc297123493"/>
      <w:bookmarkStart w:id="285" w:name="_Toc296347159"/>
      <w:bookmarkStart w:id="286" w:name="_Toc296891200"/>
      <w:bookmarkStart w:id="287" w:name="_Toc300934946"/>
      <w:bookmarkStart w:id="288" w:name="_Toc296890988"/>
      <w:bookmarkStart w:id="289" w:name="_Toc296944499"/>
      <w:bookmarkStart w:id="290" w:name="_Toc296503160"/>
      <w:bookmarkStart w:id="291" w:name="_Toc303539103"/>
      <w:bookmarkStart w:id="292" w:name="_Toc292559870"/>
      <w:bookmarkStart w:id="293" w:name="_Toc296346661"/>
      <w:bookmarkStart w:id="294" w:name="_Toc297048346"/>
      <w:bookmarkStart w:id="295" w:name="_Toc292559365"/>
      <w:bookmarkStart w:id="296" w:name="_Toc297120460"/>
      <w:bookmarkStart w:id="297" w:name="_Toc304295524"/>
      <w:bookmarkStart w:id="298" w:name="_Toc312677989"/>
      <w:bookmarkStart w:id="299" w:name="_Toc318581158"/>
      <w:r>
        <w:rPr>
          <w:rFonts w:hint="eastAsia" w:ascii="宋体" w:hAnsi="宋体" w:cs="宋体"/>
          <w:color w:val="auto"/>
          <w:sz w:val="24"/>
          <w:highlight w:val="none"/>
        </w:rPr>
        <w:t>.5.1 分包的一般约定</w:t>
      </w:r>
      <w:bookmarkEnd w:id="282"/>
    </w:p>
    <w:p w14:paraId="41D87F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00" w:name="_Toc38747218"/>
      <w:r>
        <w:rPr>
          <w:rFonts w:hint="eastAsia" w:ascii="宋体" w:hAnsi="宋体" w:cs="宋体"/>
          <w:color w:val="auto"/>
          <w:sz w:val="24"/>
          <w:highlight w:val="none"/>
        </w:rPr>
        <w:t>禁止分包的工程包括：</w:t>
      </w:r>
      <w:r>
        <w:rPr>
          <w:rFonts w:hint="eastAsia" w:ascii="宋体" w:hAnsi="宋体" w:cs="宋体"/>
          <w:color w:val="auto"/>
          <w:sz w:val="24"/>
          <w:highlight w:val="none"/>
          <w:u w:val="single"/>
        </w:rPr>
        <w:t xml:space="preserve"> 主体结构、关键性工作及其他法律、法规规定的禁止分包的工程 </w:t>
      </w:r>
      <w:r>
        <w:rPr>
          <w:rFonts w:hint="eastAsia" w:ascii="宋体" w:hAnsi="宋体" w:cs="宋体"/>
          <w:color w:val="auto"/>
          <w:sz w:val="24"/>
          <w:highlight w:val="none"/>
        </w:rPr>
        <w:t>。</w:t>
      </w:r>
      <w:bookmarkEnd w:id="300"/>
    </w:p>
    <w:p w14:paraId="7C57F3D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301" w:name="_Toc38747219"/>
      <w:r>
        <w:rPr>
          <w:rFonts w:hint="eastAsia" w:ascii="宋体" w:hAnsi="宋体" w:cs="宋体"/>
          <w:color w:val="auto"/>
          <w:sz w:val="24"/>
          <w:highlight w:val="none"/>
        </w:rPr>
        <w:t>主体结构、关键性工作的范围：</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301"/>
      <w:bookmarkStart w:id="302" w:name="_Toc296944500"/>
      <w:bookmarkStart w:id="303" w:name="_Toc296890989"/>
      <w:bookmarkStart w:id="304" w:name="_Toc304295525"/>
      <w:bookmarkStart w:id="305" w:name="_Toc296503161"/>
      <w:bookmarkStart w:id="306" w:name="_Toc297120461"/>
      <w:bookmarkStart w:id="307" w:name="_Toc300934947"/>
      <w:bookmarkStart w:id="308" w:name="_Toc296346662"/>
      <w:bookmarkStart w:id="309" w:name="_Toc297123494"/>
      <w:bookmarkStart w:id="310" w:name="_Toc303539104"/>
      <w:bookmarkStart w:id="311" w:name="_Toc296347160"/>
      <w:bookmarkStart w:id="312" w:name="_Toc297048347"/>
      <w:bookmarkStart w:id="313" w:name="_Toc297216153"/>
      <w:bookmarkStart w:id="314" w:name="_Toc296891201"/>
    </w:p>
    <w:bookmarkEnd w:id="298"/>
    <w:bookmarkEnd w:id="299"/>
    <w:bookmarkEnd w:id="302"/>
    <w:bookmarkEnd w:id="303"/>
    <w:bookmarkEnd w:id="304"/>
    <w:bookmarkEnd w:id="305"/>
    <w:bookmarkEnd w:id="306"/>
    <w:bookmarkEnd w:id="307"/>
    <w:bookmarkEnd w:id="308"/>
    <w:bookmarkEnd w:id="309"/>
    <w:bookmarkEnd w:id="310"/>
    <w:bookmarkEnd w:id="311"/>
    <w:bookmarkEnd w:id="312"/>
    <w:bookmarkEnd w:id="313"/>
    <w:bookmarkEnd w:id="314"/>
    <w:p w14:paraId="5F4298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15" w:name="_Toc38747220"/>
      <w:r>
        <w:rPr>
          <w:rFonts w:hint="eastAsia" w:ascii="宋体" w:hAnsi="宋体" w:cs="宋体"/>
          <w:color w:val="auto"/>
          <w:sz w:val="24"/>
          <w:highlight w:val="none"/>
        </w:rPr>
        <w:t>3</w:t>
      </w:r>
      <w:bookmarkStart w:id="316" w:name="_Toc318581159"/>
      <w:bookmarkStart w:id="317" w:name="_Toc312677990"/>
      <w:r>
        <w:rPr>
          <w:rFonts w:hint="eastAsia" w:ascii="宋体" w:hAnsi="宋体" w:cs="宋体"/>
          <w:color w:val="auto"/>
          <w:sz w:val="24"/>
          <w:highlight w:val="none"/>
        </w:rPr>
        <w:t>.5.2分包的确定</w:t>
      </w:r>
      <w:bookmarkEnd w:id="315"/>
    </w:p>
    <w:p w14:paraId="268C348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318" w:name="_Toc38747221"/>
      <w:r>
        <w:rPr>
          <w:rFonts w:hint="eastAsia" w:ascii="宋体" w:hAnsi="宋体" w:cs="宋体"/>
          <w:color w:val="auto"/>
          <w:sz w:val="24"/>
          <w:highlight w:val="none"/>
        </w:rPr>
        <w:t>允许分包的专业工程包括：</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318"/>
    </w:p>
    <w:p w14:paraId="46BFD1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19" w:name="_Toc38747222"/>
      <w:r>
        <w:rPr>
          <w:rFonts w:hint="eastAsia" w:ascii="宋体" w:hAnsi="宋体" w:cs="宋体"/>
          <w:color w:val="auto"/>
          <w:sz w:val="24"/>
          <w:highlight w:val="none"/>
        </w:rPr>
        <w:t>其他关于分包的约定：</w:t>
      </w:r>
      <w:bookmarkEnd w:id="319"/>
      <w:r>
        <w:rPr>
          <w:rFonts w:hint="eastAsia" w:ascii="宋体" w:hAnsi="宋体" w:cs="宋体"/>
          <w:color w:val="auto"/>
          <w:sz w:val="24"/>
          <w:highlight w:val="none"/>
          <w:u w:val="single"/>
        </w:rPr>
        <w:t>（1）因工程项目管理需要，发包人可以通过公开招标等方式确定专业工程施工分包人。发包人有权将该分包人纳入承包人的施工承包项目管理，且承包人应按照《施工总承包项目管理协议书》约定对该分包人进行管理，并对该分包人的行为向发包人负责。（2）不需纳入承包人的施工总承包服务的分包人，《施工总承包项目管理协议书》对该分包人无效，但承包人应对其提供配合和管理服务。（3）承包人应在分包合同签订后3天内向发包人和监理人提交《施工总承包项目管理协议书》副本</w:t>
      </w:r>
      <w:r>
        <w:rPr>
          <w:rFonts w:hint="eastAsia" w:ascii="宋体" w:hAnsi="宋体" w:cs="宋体"/>
          <w:color w:val="auto"/>
          <w:sz w:val="24"/>
          <w:highlight w:val="none"/>
        </w:rPr>
        <w:t>。</w:t>
      </w:r>
    </w:p>
    <w:p w14:paraId="75DF22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20" w:name="_Toc38747223"/>
      <w:r>
        <w:rPr>
          <w:rFonts w:hint="eastAsia" w:ascii="宋体" w:hAnsi="宋体" w:cs="宋体"/>
          <w:color w:val="auto"/>
          <w:sz w:val="24"/>
          <w:highlight w:val="none"/>
        </w:rPr>
        <w:t>3.5.4 分包合同价款</w:t>
      </w:r>
      <w:bookmarkEnd w:id="320"/>
    </w:p>
    <w:p w14:paraId="751A3A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21" w:name="_Toc38747224"/>
      <w:r>
        <w:rPr>
          <w:rFonts w:hint="eastAsia" w:ascii="宋体" w:hAnsi="宋体" w:cs="宋体"/>
          <w:color w:val="auto"/>
          <w:sz w:val="24"/>
          <w:highlight w:val="none"/>
        </w:rPr>
        <w:t>关于分包合同价款支付的约定：</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321"/>
    </w:p>
    <w:bookmarkEnd w:id="316"/>
    <w:bookmarkEnd w:id="317"/>
    <w:p w14:paraId="5D3D81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22" w:name="_Toc38747225"/>
      <w:r>
        <w:rPr>
          <w:rFonts w:hint="eastAsia" w:ascii="宋体" w:hAnsi="宋体" w:cs="宋体"/>
          <w:color w:val="auto"/>
          <w:sz w:val="24"/>
          <w:highlight w:val="none"/>
        </w:rPr>
        <w:t>3.6 工程照管与成品、半成品保护</w:t>
      </w:r>
      <w:bookmarkEnd w:id="322"/>
    </w:p>
    <w:p w14:paraId="360B53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323" w:name="_Toc38747226"/>
      <w:r>
        <w:rPr>
          <w:rFonts w:hint="eastAsia" w:ascii="宋体" w:hAnsi="宋体" w:cs="宋体"/>
          <w:color w:val="auto"/>
          <w:sz w:val="24"/>
          <w:highlight w:val="none"/>
        </w:rPr>
        <w:t>承包人负责照管工程及工程相关的材料、工程设备的起始时间：</w:t>
      </w:r>
      <w:r>
        <w:rPr>
          <w:rFonts w:hint="eastAsia" w:ascii="宋体" w:hAnsi="宋体" w:cs="宋体"/>
          <w:color w:val="auto"/>
          <w:sz w:val="24"/>
          <w:highlight w:val="none"/>
          <w:u w:val="single"/>
        </w:rPr>
        <w:t>施工场地移交之日</w:t>
      </w:r>
      <w:r>
        <w:rPr>
          <w:rFonts w:hint="eastAsia" w:ascii="宋体" w:hAnsi="宋体" w:cs="宋体"/>
          <w:color w:val="auto"/>
          <w:sz w:val="24"/>
          <w:highlight w:val="none"/>
        </w:rPr>
        <w:t>。</w:t>
      </w:r>
      <w:bookmarkEnd w:id="323"/>
    </w:p>
    <w:p w14:paraId="15802B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24" w:name="_Toc38747227"/>
      <w:r>
        <w:rPr>
          <w:rFonts w:hint="eastAsia" w:ascii="宋体" w:hAnsi="宋体" w:cs="宋体"/>
          <w:color w:val="auto"/>
          <w:sz w:val="24"/>
          <w:highlight w:val="none"/>
        </w:rPr>
        <w:t>3.7 履约担保</w:t>
      </w:r>
      <w:bookmarkEnd w:id="324"/>
    </w:p>
    <w:p w14:paraId="074F8E2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25" w:name="_Toc38747228"/>
      <w:r>
        <w:rPr>
          <w:rFonts w:hint="eastAsia" w:ascii="宋体" w:hAnsi="宋体" w:cs="宋体"/>
          <w:color w:val="auto"/>
          <w:sz w:val="24"/>
          <w:highlight w:val="none"/>
        </w:rPr>
        <w:t>承包人是否提供履约担保：</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325"/>
    </w:p>
    <w:p w14:paraId="138CE09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26" w:name="_Toc38747229"/>
      <w:r>
        <w:rPr>
          <w:rFonts w:hint="eastAsia" w:ascii="宋体" w:hAnsi="宋体" w:cs="宋体"/>
          <w:color w:val="auto"/>
          <w:sz w:val="24"/>
          <w:highlight w:val="none"/>
        </w:rPr>
        <w:t>承包人提供履约担保的形式、金额及期限的：</w:t>
      </w:r>
      <w:r>
        <w:rPr>
          <w:rFonts w:hint="eastAsia" w:ascii="宋体" w:hAnsi="宋体" w:cs="宋体"/>
          <w:bCs/>
          <w:color w:val="auto"/>
          <w:sz w:val="24"/>
          <w:highlight w:val="none"/>
          <w:u w:val="single"/>
        </w:rPr>
        <w:t>/。</w:t>
      </w:r>
      <w:bookmarkEnd w:id="326"/>
    </w:p>
    <w:p w14:paraId="728D34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bCs/>
          <w:color w:val="auto"/>
          <w:sz w:val="24"/>
          <w:highlight w:val="none"/>
        </w:rPr>
      </w:pPr>
      <w:bookmarkStart w:id="327" w:name="_Toc351203636"/>
      <w:bookmarkStart w:id="328" w:name="_Toc38747230"/>
      <w:r>
        <w:rPr>
          <w:rFonts w:hint="eastAsia" w:ascii="宋体" w:hAnsi="宋体" w:cs="宋体"/>
          <w:bCs/>
          <w:color w:val="auto"/>
          <w:sz w:val="24"/>
          <w:highlight w:val="none"/>
        </w:rPr>
        <w:t>4</w:t>
      </w:r>
      <w:bookmarkStart w:id="329" w:name="_Toc292559871"/>
      <w:bookmarkStart w:id="330" w:name="_Toc296503162"/>
      <w:bookmarkStart w:id="331" w:name="_Toc292559366"/>
      <w:bookmarkStart w:id="332" w:name="_Toc296891202"/>
      <w:bookmarkStart w:id="333" w:name="_Toc267251413"/>
      <w:bookmarkStart w:id="334" w:name="_Toc297048348"/>
      <w:bookmarkStart w:id="335" w:name="_Toc296346663"/>
      <w:bookmarkStart w:id="336" w:name="_Toc297120462"/>
      <w:bookmarkStart w:id="337" w:name="_Toc296890990"/>
      <w:bookmarkStart w:id="338" w:name="_Toc296347161"/>
      <w:bookmarkStart w:id="339" w:name="_Toc296944501"/>
      <w:r>
        <w:rPr>
          <w:rFonts w:hint="eastAsia" w:ascii="宋体" w:hAnsi="宋体" w:cs="宋体"/>
          <w:bCs/>
          <w:color w:val="auto"/>
          <w:sz w:val="24"/>
          <w:highlight w:val="none"/>
        </w:rPr>
        <w:t>. 监</w:t>
      </w:r>
      <w:bookmarkEnd w:id="329"/>
      <w:bookmarkEnd w:id="330"/>
      <w:bookmarkEnd w:id="331"/>
      <w:bookmarkEnd w:id="332"/>
      <w:bookmarkEnd w:id="333"/>
      <w:bookmarkEnd w:id="334"/>
      <w:bookmarkEnd w:id="335"/>
      <w:bookmarkEnd w:id="336"/>
      <w:bookmarkEnd w:id="337"/>
      <w:bookmarkEnd w:id="338"/>
      <w:bookmarkEnd w:id="339"/>
      <w:r>
        <w:rPr>
          <w:rFonts w:hint="eastAsia" w:ascii="宋体" w:hAnsi="宋体" w:cs="宋体"/>
          <w:bCs/>
          <w:color w:val="auto"/>
          <w:sz w:val="24"/>
          <w:highlight w:val="none"/>
        </w:rPr>
        <w:t>理人</w:t>
      </w:r>
      <w:bookmarkEnd w:id="327"/>
      <w:bookmarkEnd w:id="328"/>
    </w:p>
    <w:p w14:paraId="43A86E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40" w:name="_Toc38747231"/>
      <w:r>
        <w:rPr>
          <w:rFonts w:hint="eastAsia" w:ascii="宋体" w:hAnsi="宋体" w:cs="宋体"/>
          <w:color w:val="auto"/>
          <w:sz w:val="24"/>
          <w:highlight w:val="none"/>
        </w:rPr>
        <w:t>4.1监理人的一般规定</w:t>
      </w:r>
      <w:bookmarkEnd w:id="340"/>
    </w:p>
    <w:p w14:paraId="6A7F61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41" w:name="_Toc38747232"/>
      <w:r>
        <w:rPr>
          <w:rFonts w:hint="eastAsia" w:ascii="宋体" w:hAnsi="宋体" w:cs="宋体"/>
          <w:color w:val="auto"/>
          <w:sz w:val="24"/>
          <w:highlight w:val="none"/>
        </w:rPr>
        <w:t>关于监理人的监理内容：</w:t>
      </w:r>
      <w:r>
        <w:rPr>
          <w:rFonts w:hint="eastAsia" w:ascii="宋体" w:hAnsi="宋体" w:cs="宋体"/>
          <w:color w:val="auto"/>
          <w:sz w:val="24"/>
          <w:highlight w:val="none"/>
          <w:u w:val="single"/>
        </w:rPr>
        <w:t xml:space="preserve">  </w:t>
      </w:r>
      <w:bookmarkEnd w:id="341"/>
      <w:r>
        <w:rPr>
          <w:rFonts w:hint="eastAsia" w:ascii="宋体" w:hAnsi="宋体" w:cs="宋体"/>
          <w:color w:val="auto"/>
          <w:sz w:val="24"/>
          <w:highlight w:val="none"/>
          <w:u w:val="single"/>
        </w:rPr>
        <w:t>对工程进度、质量、投资、安全进行控制；对合同、信息、资料进行监督、协调、管理；组织协调工程各方关系；对承包人提交的付款证书、月度计量、变更、签证进行初审；监督承包人开展安全生产和文明施工。监理工程师代表的委派和撤回须取得发包人书面认可，否则不产生效力。监理人行使监理职权时应符合法律、行政法规及有关的技术标准、设计文件和本合同、监理合同的约定。有关监理单位的具体职责与权力，详见发包人与监理人的委托合同。承包人于本合同签署前，已完全知悉本项目该监理委托合同的全部内容，并认可监理人按该合同内容权限来履行本条款义务</w:t>
      </w:r>
      <w:r>
        <w:rPr>
          <w:rFonts w:hint="eastAsia" w:ascii="宋体" w:hAnsi="宋体" w:cs="宋体"/>
          <w:color w:val="auto"/>
          <w:sz w:val="24"/>
          <w:highlight w:val="none"/>
        </w:rPr>
        <w:t>。</w:t>
      </w:r>
    </w:p>
    <w:p w14:paraId="7B3A00CF">
      <w:pPr>
        <w:keepNext w:val="0"/>
        <w:keepLines w:val="0"/>
        <w:pageBreakBefore w:val="0"/>
        <w:widowControl w:val="0"/>
        <w:kinsoku/>
        <w:wordWrap/>
        <w:overflowPunct/>
        <w:topLinePunct w:val="0"/>
        <w:autoSpaceDE/>
        <w:autoSpaceDN/>
        <w:bidi w:val="0"/>
        <w:spacing w:line="360" w:lineRule="auto"/>
        <w:ind w:firstLine="480" w:firstLineChars="200"/>
        <w:contextualSpacing/>
        <w:textAlignment w:val="auto"/>
        <w:rPr>
          <w:rFonts w:hint="eastAsia" w:ascii="宋体" w:hAnsi="宋体" w:cs="宋体"/>
          <w:color w:val="auto"/>
          <w:sz w:val="24"/>
          <w:highlight w:val="none"/>
          <w:u w:val="single"/>
        </w:rPr>
      </w:pPr>
      <w:bookmarkStart w:id="342" w:name="_Toc38747233"/>
      <w:r>
        <w:rPr>
          <w:rFonts w:hint="eastAsia" w:ascii="宋体" w:hAnsi="宋体" w:cs="宋体"/>
          <w:color w:val="auto"/>
          <w:sz w:val="24"/>
          <w:highlight w:val="none"/>
        </w:rPr>
        <w:t>关于监理人的监理权限：</w:t>
      </w:r>
      <w:r>
        <w:rPr>
          <w:rFonts w:hint="eastAsia" w:ascii="宋体" w:hAnsi="宋体" w:cs="宋体"/>
          <w:color w:val="auto"/>
          <w:sz w:val="24"/>
          <w:highlight w:val="none"/>
          <w:u w:val="single"/>
        </w:rPr>
        <w:t xml:space="preserve"> </w:t>
      </w:r>
      <w:bookmarkEnd w:id="342"/>
      <w:r>
        <w:rPr>
          <w:rFonts w:hint="eastAsia" w:ascii="宋体" w:hAnsi="宋体" w:cs="宋体"/>
          <w:color w:val="auto"/>
          <w:sz w:val="24"/>
          <w:highlight w:val="none"/>
          <w:u w:val="single"/>
        </w:rPr>
        <w:t xml:space="preserve"> 监理人对涉及以下事项的文件签署前，必须获得发包人书面确认(即：发包人加盖发包人公章)后方为有效：（1）发出可能引起工程范围的扩大或缩小、工程质量标准的提高或降低、合同价款增加、合同工期延长的工程变更指令或其它指令；（2）批准或同意承包人提出的追加或变更工程价款、补偿损失的申请及工程索赔价款的确认；（3）批准或同意承包人提出的顺延工期的申请；（4）批准或同意承包人的材料、设备供应商或承包人对工程的部分或全部的分包；（5）工程竣工验收报告或甩项验收报告及工程缺陷证书的确认；（6）确认工程竣工结算价款；（7）撤换承包人代表（项目经理）；（8）变更合同权利义务关系或做出单方面终止合同的决定；（9）其他涉及或可能涉及对本合同中发包人的义务、责任、风险、费用（投资）增加，或对本合同中承包人的义务、责任、风险减少或免除，或任何涉及工程质量、工期、安全、标准、造价以及其他可能引起工程造价、工期变化的各类决定。</w:t>
      </w:r>
    </w:p>
    <w:p w14:paraId="66BED5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r>
        <w:rPr>
          <w:rFonts w:hint="eastAsia" w:ascii="宋体" w:hAnsi="宋体" w:cs="宋体"/>
          <w:color w:val="auto"/>
          <w:sz w:val="24"/>
          <w:highlight w:val="none"/>
          <w:u w:val="single"/>
        </w:rPr>
        <w:t>监理人在发出上述指令、批准或确认时应附上发包人的书面确认。承包人在收到工程师的上述指令、批准或确认时应核对有无发包人的书面确认，一旦监理人未经发包人确认作出上述指令、批准或确认，承包人应该立即将该情况通知发包人，要求发包人予以追认，发包人未予追认的，监理人的该行动对发包人无约束力。</w:t>
      </w:r>
      <w:r>
        <w:rPr>
          <w:rFonts w:hint="eastAsia" w:ascii="宋体" w:hAnsi="宋体" w:cs="宋体"/>
          <w:color w:val="auto"/>
          <w:sz w:val="24"/>
          <w:highlight w:val="none"/>
        </w:rPr>
        <w:t xml:space="preserve"> </w:t>
      </w:r>
    </w:p>
    <w:p w14:paraId="3F4AB3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343" w:name="_Toc38747234"/>
      <w:r>
        <w:rPr>
          <w:rFonts w:hint="eastAsia" w:ascii="宋体" w:hAnsi="宋体" w:cs="宋体"/>
          <w:color w:val="auto"/>
          <w:sz w:val="24"/>
          <w:highlight w:val="none"/>
        </w:rPr>
        <w:t>关于监理人在施工现场的办公场所、生活场所的提供和费用承担的约定：</w:t>
      </w:r>
      <w:r>
        <w:rPr>
          <w:rFonts w:hint="eastAsia" w:ascii="宋体" w:hAnsi="宋体" w:cs="宋体"/>
          <w:color w:val="auto"/>
          <w:sz w:val="24"/>
          <w:highlight w:val="none"/>
          <w:u w:val="single"/>
        </w:rPr>
        <w:t>按通用条款 。</w:t>
      </w:r>
      <w:bookmarkEnd w:id="343"/>
    </w:p>
    <w:p w14:paraId="3722B00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44" w:name="_Toc38747235"/>
      <w:r>
        <w:rPr>
          <w:rFonts w:hint="eastAsia" w:ascii="宋体" w:hAnsi="宋体" w:cs="宋体"/>
          <w:color w:val="auto"/>
          <w:sz w:val="24"/>
          <w:highlight w:val="none"/>
        </w:rPr>
        <w:t>4.2 监理人员</w:t>
      </w:r>
      <w:bookmarkEnd w:id="344"/>
    </w:p>
    <w:p w14:paraId="67C5EB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45" w:name="_Toc38747236"/>
      <w:r>
        <w:rPr>
          <w:rFonts w:hint="eastAsia" w:ascii="宋体" w:hAnsi="宋体" w:cs="宋体"/>
          <w:color w:val="auto"/>
          <w:sz w:val="24"/>
          <w:highlight w:val="none"/>
        </w:rPr>
        <w:t>总监理工程师：</w:t>
      </w:r>
      <w:bookmarkEnd w:id="345"/>
    </w:p>
    <w:p w14:paraId="272AF0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46" w:name="_Toc38747237"/>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346"/>
    </w:p>
    <w:p w14:paraId="60C5E1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47" w:name="_Toc38747238"/>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347"/>
    </w:p>
    <w:p w14:paraId="6B356F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48" w:name="_Toc38747239"/>
      <w:r>
        <w:rPr>
          <w:rFonts w:hint="eastAsia" w:ascii="宋体" w:hAnsi="宋体" w:cs="宋体"/>
          <w:color w:val="auto"/>
          <w:sz w:val="24"/>
          <w:highlight w:val="none"/>
        </w:rPr>
        <w:t>监理工程师执业资格证书号：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348"/>
    </w:p>
    <w:p w14:paraId="14D2E4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49" w:name="_Toc38747240"/>
      <w:r>
        <w:rPr>
          <w:rFonts w:hint="eastAsia" w:ascii="宋体" w:hAnsi="宋体" w:cs="宋体"/>
          <w:color w:val="auto"/>
          <w:sz w:val="24"/>
          <w:highlight w:val="none"/>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349"/>
    </w:p>
    <w:p w14:paraId="2E93B8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50" w:name="_Toc38747241"/>
      <w:r>
        <w:rPr>
          <w:rFonts w:hint="eastAsia" w:ascii="宋体" w:hAnsi="宋体" w:cs="宋体"/>
          <w:color w:val="auto"/>
          <w:sz w:val="24"/>
          <w:highlight w:val="none"/>
        </w:rPr>
        <w:t>电子信箱：</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350"/>
    </w:p>
    <w:p w14:paraId="6A282EF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51" w:name="_Toc38747242"/>
      <w:r>
        <w:rPr>
          <w:rFonts w:hint="eastAsia" w:ascii="宋体" w:hAnsi="宋体" w:cs="宋体"/>
          <w:color w:val="auto"/>
          <w:sz w:val="24"/>
          <w:highlight w:val="none"/>
        </w:rPr>
        <w:t>通信地址：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351"/>
    </w:p>
    <w:p w14:paraId="49931B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52" w:name="_Toc38747243"/>
      <w:r>
        <w:rPr>
          <w:rFonts w:hint="eastAsia" w:ascii="宋体" w:hAnsi="宋体" w:cs="宋体"/>
          <w:color w:val="auto"/>
          <w:sz w:val="24"/>
          <w:highlight w:val="none"/>
        </w:rPr>
        <w:t>关于监理人的其他约定：</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bookmarkEnd w:id="352"/>
    </w:p>
    <w:p w14:paraId="150FC6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53" w:name="_Toc38747244"/>
      <w:r>
        <w:rPr>
          <w:rFonts w:hint="eastAsia" w:ascii="宋体" w:hAnsi="宋体" w:cs="宋体"/>
          <w:color w:val="auto"/>
          <w:sz w:val="24"/>
          <w:highlight w:val="none"/>
        </w:rPr>
        <w:t>4.4 商定或确定</w:t>
      </w:r>
      <w:bookmarkEnd w:id="353"/>
    </w:p>
    <w:p w14:paraId="6A7B2AA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54" w:name="_Toc38747245"/>
      <w:r>
        <w:rPr>
          <w:rFonts w:hint="eastAsia" w:ascii="宋体" w:hAnsi="宋体" w:cs="宋体"/>
          <w:color w:val="auto"/>
          <w:sz w:val="24"/>
          <w:highlight w:val="none"/>
        </w:rPr>
        <w:t>在发包人和承包人不能通过协商达成一致意见时，发包人授权监理人对以下事项进行确定：</w:t>
      </w:r>
      <w:bookmarkEnd w:id="354"/>
    </w:p>
    <w:p w14:paraId="696701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55" w:name="_Toc38747246"/>
      <w:r>
        <w:rPr>
          <w:rFonts w:hint="eastAsia" w:ascii="宋体" w:hAnsi="宋体" w:cs="宋体"/>
          <w:color w:val="auto"/>
          <w:sz w:val="24"/>
          <w:highlight w:val="none"/>
        </w:rPr>
        <w:t>（1）</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355"/>
    </w:p>
    <w:p w14:paraId="4C8455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56" w:name="_Toc38747247"/>
      <w:r>
        <w:rPr>
          <w:rFonts w:hint="eastAsia" w:ascii="宋体" w:hAnsi="宋体" w:cs="宋体"/>
          <w:color w:val="auto"/>
          <w:sz w:val="24"/>
          <w:highlight w:val="none"/>
        </w:rPr>
        <w:t>（2）</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356"/>
    </w:p>
    <w:p w14:paraId="1E8636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57" w:name="_Toc38747248"/>
      <w:r>
        <w:rPr>
          <w:rFonts w:hint="eastAsia" w:ascii="宋体" w:hAnsi="宋体" w:cs="宋体"/>
          <w:color w:val="auto"/>
          <w:sz w:val="24"/>
          <w:highlight w:val="none"/>
        </w:rPr>
        <w:t>（3）</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357"/>
    </w:p>
    <w:p w14:paraId="3299DA1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0"/>
        <w:rPr>
          <w:rFonts w:hint="eastAsia" w:ascii="宋体" w:hAnsi="宋体" w:cs="宋体"/>
          <w:b/>
          <w:color w:val="auto"/>
          <w:sz w:val="24"/>
          <w:highlight w:val="none"/>
          <w:lang w:val="zh-CN"/>
        </w:rPr>
      </w:pPr>
      <w:bookmarkStart w:id="358" w:name="_Toc38747249"/>
      <w:r>
        <w:rPr>
          <w:rFonts w:hint="eastAsia" w:ascii="宋体" w:hAnsi="宋体" w:cs="宋体"/>
          <w:b/>
          <w:color w:val="auto"/>
          <w:sz w:val="24"/>
          <w:highlight w:val="none"/>
          <w:lang w:val="zh-CN"/>
        </w:rPr>
        <w:t>5.工程质量</w:t>
      </w:r>
      <w:bookmarkEnd w:id="358"/>
    </w:p>
    <w:p w14:paraId="637A915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59" w:name="_Toc38747250"/>
      <w:r>
        <w:rPr>
          <w:rFonts w:hint="eastAsia" w:ascii="宋体" w:hAnsi="宋体" w:cs="宋体"/>
          <w:color w:val="auto"/>
          <w:sz w:val="24"/>
          <w:highlight w:val="none"/>
        </w:rPr>
        <w:t>5.1质量要求</w:t>
      </w:r>
      <w:bookmarkEnd w:id="359"/>
    </w:p>
    <w:p w14:paraId="1235C7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60" w:name="_Toc38747251"/>
      <w:r>
        <w:rPr>
          <w:rFonts w:hint="eastAsia" w:ascii="宋体" w:hAnsi="宋体" w:cs="宋体"/>
          <w:color w:val="auto"/>
          <w:sz w:val="24"/>
          <w:highlight w:val="none"/>
        </w:rPr>
        <w:t>5.1.1质量标准和要求：</w:t>
      </w:r>
      <w:r>
        <w:rPr>
          <w:rFonts w:hint="eastAsia" w:ascii="宋体" w:hAnsi="宋体" w:cs="宋体"/>
          <w:bCs/>
          <w:color w:val="auto"/>
          <w:sz w:val="24"/>
          <w:highlight w:val="none"/>
          <w:u w:val="single"/>
        </w:rPr>
        <w:t>一次性验收100%合格</w:t>
      </w:r>
      <w:bookmarkEnd w:id="360"/>
    </w:p>
    <w:p w14:paraId="20536E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61" w:name="_Toc38747252"/>
      <w:r>
        <w:rPr>
          <w:rFonts w:hint="eastAsia" w:ascii="宋体" w:hAnsi="宋体" w:cs="宋体"/>
          <w:color w:val="auto"/>
          <w:sz w:val="24"/>
          <w:highlight w:val="none"/>
        </w:rPr>
        <w:t>关于工程奖项的约定：</w:t>
      </w:r>
      <w:r>
        <w:rPr>
          <w:rFonts w:hint="eastAsia" w:ascii="宋体" w:hAnsi="宋体" w:cs="宋体"/>
          <w:color w:val="auto"/>
          <w:sz w:val="24"/>
          <w:highlight w:val="none"/>
          <w:u w:val="single"/>
        </w:rPr>
        <w:t>/</w:t>
      </w:r>
      <w:r>
        <w:rPr>
          <w:rFonts w:hint="eastAsia" w:ascii="宋体" w:hAnsi="宋体" w:cs="宋体"/>
          <w:color w:val="auto"/>
          <w:sz w:val="24"/>
          <w:highlight w:val="none"/>
        </w:rPr>
        <w:t>。</w:t>
      </w:r>
      <w:bookmarkEnd w:id="361"/>
    </w:p>
    <w:p w14:paraId="03AFD79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62" w:name="_Toc38747253"/>
      <w:r>
        <w:rPr>
          <w:rFonts w:hint="eastAsia" w:ascii="宋体" w:hAnsi="宋体" w:cs="宋体"/>
          <w:color w:val="auto"/>
          <w:sz w:val="24"/>
          <w:highlight w:val="none"/>
        </w:rPr>
        <w:t>5.3隐蔽工程检查</w:t>
      </w:r>
      <w:bookmarkEnd w:id="362"/>
    </w:p>
    <w:p w14:paraId="17D5E0F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63" w:name="_Toc38747254"/>
      <w:r>
        <w:rPr>
          <w:rFonts w:hint="eastAsia" w:ascii="宋体" w:hAnsi="宋体" w:cs="宋体"/>
          <w:color w:val="auto"/>
          <w:sz w:val="24"/>
          <w:highlight w:val="none"/>
        </w:rPr>
        <w:t>5.3.2承包人提前通知监理人隐蔽工程检查的期限的约定：</w:t>
      </w:r>
      <w:r>
        <w:rPr>
          <w:rFonts w:hint="eastAsia" w:ascii="宋体" w:hAnsi="宋体" w:cs="宋体"/>
          <w:color w:val="auto"/>
          <w:sz w:val="24"/>
          <w:highlight w:val="none"/>
          <w:u w:val="single"/>
        </w:rPr>
        <w:t>共同检查前48小时书面通知。</w:t>
      </w:r>
      <w:bookmarkEnd w:id="363"/>
    </w:p>
    <w:p w14:paraId="7BD4B78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64" w:name="_Toc38747255"/>
      <w:r>
        <w:rPr>
          <w:rFonts w:hint="eastAsia" w:ascii="宋体" w:hAnsi="宋体" w:cs="宋体"/>
          <w:color w:val="auto"/>
          <w:sz w:val="24"/>
          <w:highlight w:val="none"/>
        </w:rPr>
        <w:t>监理人不能按时进行检查时，应提前</w:t>
      </w:r>
      <w:r>
        <w:rPr>
          <w:rFonts w:hint="eastAsia" w:ascii="宋体" w:hAnsi="宋体" w:cs="宋体"/>
          <w:color w:val="auto"/>
          <w:sz w:val="24"/>
          <w:highlight w:val="none"/>
          <w:u w:val="single"/>
        </w:rPr>
        <w:t>24</w:t>
      </w:r>
      <w:r>
        <w:rPr>
          <w:rFonts w:hint="eastAsia" w:ascii="宋体" w:hAnsi="宋体" w:cs="宋体"/>
          <w:color w:val="auto"/>
          <w:sz w:val="24"/>
          <w:highlight w:val="none"/>
        </w:rPr>
        <w:t>小时提交书面延期要求。</w:t>
      </w:r>
      <w:bookmarkEnd w:id="364"/>
    </w:p>
    <w:p w14:paraId="382091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65" w:name="_Toc38747256"/>
      <w:r>
        <w:rPr>
          <w:rFonts w:hint="eastAsia" w:ascii="宋体" w:hAnsi="宋体" w:cs="宋体"/>
          <w:color w:val="auto"/>
          <w:sz w:val="24"/>
          <w:highlight w:val="none"/>
        </w:rPr>
        <w:t>关于延期最长不得超过：</w:t>
      </w:r>
      <w:r>
        <w:rPr>
          <w:rFonts w:hint="eastAsia" w:ascii="宋体" w:hAnsi="宋体" w:cs="宋体"/>
          <w:color w:val="auto"/>
          <w:sz w:val="24"/>
          <w:highlight w:val="none"/>
          <w:u w:val="single"/>
        </w:rPr>
        <w:t>48</w:t>
      </w:r>
      <w:r>
        <w:rPr>
          <w:rFonts w:hint="eastAsia" w:ascii="宋体" w:hAnsi="宋体" w:cs="宋体"/>
          <w:color w:val="auto"/>
          <w:sz w:val="24"/>
          <w:highlight w:val="none"/>
        </w:rPr>
        <w:t>小时。</w:t>
      </w:r>
      <w:bookmarkEnd w:id="365"/>
    </w:p>
    <w:p w14:paraId="61554C2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0"/>
        <w:rPr>
          <w:rFonts w:hint="eastAsia" w:ascii="宋体" w:hAnsi="宋体" w:cs="宋体"/>
          <w:b/>
          <w:color w:val="auto"/>
          <w:sz w:val="24"/>
          <w:highlight w:val="none"/>
          <w:lang w:val="zh-CN"/>
        </w:rPr>
      </w:pPr>
      <w:bookmarkStart w:id="366" w:name="_Toc38747257"/>
      <w:r>
        <w:rPr>
          <w:rFonts w:hint="eastAsia" w:ascii="宋体" w:hAnsi="宋体" w:cs="宋体"/>
          <w:b/>
          <w:color w:val="auto"/>
          <w:sz w:val="24"/>
          <w:highlight w:val="none"/>
          <w:lang w:val="zh-CN"/>
        </w:rPr>
        <w:t>6.安全文明施工与环境保护</w:t>
      </w:r>
      <w:bookmarkEnd w:id="366"/>
    </w:p>
    <w:p w14:paraId="19AC4A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67" w:name="_Toc38747258"/>
      <w:r>
        <w:rPr>
          <w:rFonts w:hint="eastAsia" w:ascii="宋体" w:hAnsi="宋体" w:cs="宋体"/>
          <w:color w:val="auto"/>
          <w:sz w:val="24"/>
          <w:highlight w:val="none"/>
        </w:rPr>
        <w:t>6.1安全文明施工</w:t>
      </w:r>
      <w:bookmarkEnd w:id="367"/>
    </w:p>
    <w:p w14:paraId="72FF6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68" w:name="_Toc38747259"/>
      <w:r>
        <w:rPr>
          <w:rFonts w:hint="eastAsia" w:ascii="宋体" w:hAnsi="宋体" w:cs="宋体"/>
          <w:color w:val="auto"/>
          <w:sz w:val="24"/>
          <w:highlight w:val="none"/>
        </w:rPr>
        <w:t>6.1.1项目安全生产的达标目标及相应事项的约定：</w:t>
      </w:r>
      <w:bookmarkEnd w:id="368"/>
    </w:p>
    <w:p w14:paraId="347664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369" w:name="_Toc38747260"/>
      <w:r>
        <w:rPr>
          <w:rFonts w:hint="eastAsia" w:ascii="宋体" w:hAnsi="宋体" w:cs="宋体"/>
          <w:color w:val="auto"/>
          <w:sz w:val="24"/>
          <w:highlight w:val="none"/>
          <w:u w:val="single"/>
        </w:rPr>
        <w:t>按建设部现行的《建设工程安全生产管理条例》的有关规定、《无锡市建设工程文明施工管理办法》（市人民政府令第120号）的有关条款以及招标文件中技术标准和要求规定执行，由承包人负责管理，安全事故由承包人承担一切后果。</w:t>
      </w:r>
      <w:bookmarkEnd w:id="369"/>
    </w:p>
    <w:p w14:paraId="3886DDB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70" w:name="_Toc38747261"/>
      <w:r>
        <w:rPr>
          <w:rFonts w:hint="eastAsia" w:ascii="宋体" w:hAnsi="宋体" w:cs="宋体"/>
          <w:color w:val="auto"/>
          <w:sz w:val="24"/>
          <w:highlight w:val="none"/>
        </w:rPr>
        <w:t>6.1.4关于治安保卫的特别约定：</w:t>
      </w:r>
      <w:r>
        <w:rPr>
          <w:rFonts w:hint="eastAsia" w:ascii="宋体" w:hAnsi="宋体" w:cs="宋体"/>
          <w:color w:val="auto"/>
          <w:sz w:val="24"/>
          <w:highlight w:val="none"/>
          <w:u w:val="single"/>
        </w:rPr>
        <w:t>由承包人承担一切后果。</w:t>
      </w:r>
      <w:bookmarkEnd w:id="370"/>
    </w:p>
    <w:p w14:paraId="11882F8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71" w:name="_Toc38747262"/>
      <w:r>
        <w:rPr>
          <w:rFonts w:hint="eastAsia" w:ascii="宋体" w:hAnsi="宋体" w:cs="宋体"/>
          <w:color w:val="auto"/>
          <w:sz w:val="24"/>
          <w:highlight w:val="none"/>
        </w:rPr>
        <w:t>关于编制施工场地治安管理计划的约定：</w:t>
      </w:r>
      <w:r>
        <w:rPr>
          <w:rFonts w:hint="eastAsia" w:ascii="宋体" w:hAnsi="宋体" w:cs="宋体"/>
          <w:color w:val="auto"/>
          <w:sz w:val="24"/>
          <w:highlight w:val="none"/>
          <w:u w:val="single"/>
        </w:rPr>
        <w:t>由承包人负责编制经审批后实施</w:t>
      </w:r>
      <w:r>
        <w:rPr>
          <w:rFonts w:hint="eastAsia" w:ascii="宋体" w:hAnsi="宋体" w:cs="宋体"/>
          <w:color w:val="auto"/>
          <w:sz w:val="24"/>
          <w:highlight w:val="none"/>
        </w:rPr>
        <w:t>。</w:t>
      </w:r>
      <w:bookmarkEnd w:id="371"/>
    </w:p>
    <w:p w14:paraId="0270FD0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72" w:name="_Toc38747263"/>
      <w:r>
        <w:rPr>
          <w:rFonts w:hint="eastAsia" w:ascii="宋体" w:hAnsi="宋体" w:cs="宋体"/>
          <w:color w:val="auto"/>
          <w:sz w:val="24"/>
          <w:highlight w:val="none"/>
        </w:rPr>
        <w:t>6.1.5文明施工</w:t>
      </w:r>
      <w:bookmarkEnd w:id="372"/>
    </w:p>
    <w:p w14:paraId="134AD8B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bookmarkStart w:id="373" w:name="_Toc38747264"/>
      <w:r>
        <w:rPr>
          <w:rFonts w:hint="eastAsia" w:ascii="宋体" w:hAnsi="宋体" w:cs="宋体"/>
          <w:color w:val="auto"/>
          <w:sz w:val="24"/>
          <w:highlight w:val="none"/>
        </w:rPr>
        <w:t>合同当事人对文明施工的要求：</w:t>
      </w:r>
      <w:bookmarkEnd w:id="373"/>
      <w:r>
        <w:rPr>
          <w:rFonts w:hint="eastAsia" w:ascii="宋体" w:hAnsi="宋体" w:cs="宋体"/>
          <w:color w:val="auto"/>
          <w:sz w:val="24"/>
          <w:highlight w:val="none"/>
          <w:u w:val="single"/>
        </w:rPr>
        <w:t>符合江苏省及无锡市有关施工现场的文明施工要求，按以下条款规定执行：</w:t>
      </w:r>
    </w:p>
    <w:p w14:paraId="6471E35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u w:val="single"/>
        </w:rPr>
        <w:t>（1）锡政办发〔2018〕86号文件；</w:t>
      </w:r>
    </w:p>
    <w:p w14:paraId="2C4935D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u w:val="single"/>
        </w:rPr>
        <w:t>（2）锡建质安〔2020〕24号-关于落实建筑工地围挡整治提升工作的通知；</w:t>
      </w:r>
    </w:p>
    <w:p w14:paraId="585AEE5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u w:val="single"/>
        </w:rPr>
        <w:t>（3）锡政办发〔2020〕34号-市政府办公室关于印发促进建设工程文明施工水平提升工作方案的通知；</w:t>
      </w:r>
    </w:p>
    <w:p w14:paraId="0555196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u w:val="single"/>
        </w:rPr>
      </w:pPr>
      <w:r>
        <w:rPr>
          <w:rFonts w:hint="eastAsia" w:ascii="宋体" w:hAnsi="宋体" w:cs="宋体"/>
          <w:color w:val="auto"/>
          <w:kern w:val="0"/>
          <w:sz w:val="24"/>
          <w:highlight w:val="none"/>
          <w:u w:val="single"/>
        </w:rPr>
        <w:t>（4）锡建质安〔2020〕21号-关于推进建筑工地智慧监管工作的通知。</w:t>
      </w:r>
    </w:p>
    <w:p w14:paraId="14ED3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74" w:name="_Toc38747265"/>
      <w:r>
        <w:rPr>
          <w:rFonts w:hint="eastAsia" w:ascii="宋体" w:hAnsi="宋体" w:cs="宋体"/>
          <w:color w:val="auto"/>
          <w:sz w:val="24"/>
          <w:highlight w:val="none"/>
        </w:rPr>
        <w:t>6.1.6关于安全文明施工费支付比例和支付期限的约定：</w:t>
      </w:r>
      <w:r>
        <w:rPr>
          <w:rFonts w:hint="eastAsia" w:ascii="宋体" w:hAnsi="宋体" w:cs="宋体"/>
          <w:color w:val="auto"/>
          <w:sz w:val="24"/>
          <w:highlight w:val="none"/>
          <w:lang w:val="en-US" w:eastAsia="zh-CN"/>
        </w:rPr>
        <w:t>安全生产措施费、文明施工措施费均</w:t>
      </w:r>
      <w:r>
        <w:rPr>
          <w:rFonts w:hint="eastAsia" w:ascii="宋体" w:hAnsi="宋体" w:cs="宋体"/>
          <w:color w:val="auto"/>
          <w:sz w:val="24"/>
          <w:highlight w:val="none"/>
          <w:u w:val="single"/>
        </w:rPr>
        <w:t>纳入合同总价支付</w:t>
      </w:r>
      <w:r>
        <w:rPr>
          <w:rFonts w:hint="eastAsia" w:ascii="宋体" w:hAnsi="宋体" w:cs="宋体"/>
          <w:color w:val="auto"/>
          <w:sz w:val="24"/>
          <w:highlight w:val="none"/>
        </w:rPr>
        <w:t>。</w:t>
      </w:r>
      <w:bookmarkEnd w:id="374"/>
    </w:p>
    <w:p w14:paraId="4FA5F76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0"/>
        <w:rPr>
          <w:rFonts w:hint="eastAsia" w:ascii="宋体" w:hAnsi="宋体" w:cs="宋体"/>
          <w:b/>
          <w:color w:val="auto"/>
          <w:sz w:val="24"/>
          <w:highlight w:val="none"/>
          <w:lang w:val="zh-CN"/>
        </w:rPr>
      </w:pPr>
      <w:bookmarkStart w:id="375" w:name="_Toc38747266"/>
      <w:r>
        <w:rPr>
          <w:rFonts w:hint="eastAsia" w:ascii="宋体" w:hAnsi="宋体" w:cs="宋体"/>
          <w:b/>
          <w:color w:val="auto"/>
          <w:sz w:val="24"/>
          <w:highlight w:val="none"/>
          <w:lang w:val="zh-CN"/>
        </w:rPr>
        <w:t>7.工期和进度</w:t>
      </w:r>
      <w:bookmarkEnd w:id="375"/>
    </w:p>
    <w:p w14:paraId="1E63D1B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eastAsia" w:ascii="宋体" w:hAnsi="宋体" w:cs="宋体"/>
          <w:color w:val="auto"/>
          <w:sz w:val="24"/>
          <w:highlight w:val="none"/>
        </w:rPr>
      </w:pPr>
      <w:bookmarkStart w:id="376" w:name="_Toc38747267"/>
      <w:r>
        <w:rPr>
          <w:rFonts w:hint="eastAsia" w:ascii="宋体" w:hAnsi="宋体" w:cs="宋体"/>
          <w:color w:val="auto"/>
          <w:sz w:val="24"/>
          <w:highlight w:val="none"/>
        </w:rPr>
        <w:t>7.1施工组织设计</w:t>
      </w:r>
      <w:bookmarkEnd w:id="376"/>
    </w:p>
    <w:p w14:paraId="091CA6FA">
      <w:pPr>
        <w:adjustRightInd w:val="0"/>
        <w:snapToGrid w:val="0"/>
        <w:spacing w:line="360" w:lineRule="auto"/>
        <w:ind w:firstLine="480" w:firstLineChars="200"/>
        <w:outlineLvl w:val="0"/>
        <w:rPr>
          <w:rFonts w:hint="eastAsia" w:ascii="宋体" w:hAnsi="宋体" w:cs="宋体"/>
          <w:color w:val="auto"/>
          <w:sz w:val="24"/>
          <w:highlight w:val="none"/>
        </w:rPr>
      </w:pPr>
      <w:bookmarkStart w:id="377" w:name="_Toc38747268"/>
      <w:r>
        <w:rPr>
          <w:rFonts w:hint="eastAsia" w:ascii="宋体" w:hAnsi="宋体" w:cs="宋体"/>
          <w:color w:val="auto"/>
          <w:sz w:val="24"/>
          <w:highlight w:val="none"/>
        </w:rPr>
        <w:t>7.1.1合同当事人约定的施工组织设计应包括的其他内容：</w:t>
      </w:r>
      <w:r>
        <w:rPr>
          <w:rFonts w:hint="eastAsia" w:ascii="宋体" w:hAnsi="宋体" w:cs="宋体"/>
          <w:color w:val="auto"/>
          <w:sz w:val="24"/>
          <w:highlight w:val="none"/>
          <w:u w:val="single"/>
        </w:rPr>
        <w:t>（1）临时工程、脚手架及其后的拆卸方案；（2）临时通道及工作空间的要求，场地布置图；（3）各部分永久工程的施工方案（如：混凝土工程方案等）；（4）施工现场内所采用的垂吊及运输设备；（5）施工机械用表，显示各机械的操作位置、型号、功率及施工高峰期使用数量；（6）冬、雨季施工方案；（7）恶劣天气等各种不利条件因素下的应对措施和方案；（8）建议采用的专利设计及其施工方案（如有）的说明书或目录册；（9）施工质量保证方案及工地保安方案；（10）地下管线及其他地下设施的加固措施；（11）妥善处理与相邻施工作业现场关系的措施；（12）其他与工程施工有关的管理方案、措施。</w:t>
      </w:r>
      <w:bookmarkEnd w:id="377"/>
    </w:p>
    <w:p w14:paraId="19DDC922">
      <w:pPr>
        <w:adjustRightInd w:val="0"/>
        <w:snapToGrid w:val="0"/>
        <w:spacing w:line="360" w:lineRule="auto"/>
        <w:ind w:firstLine="480" w:firstLineChars="200"/>
        <w:outlineLvl w:val="0"/>
        <w:rPr>
          <w:rFonts w:hint="eastAsia" w:ascii="宋体" w:hAnsi="宋体" w:cs="宋体"/>
          <w:color w:val="auto"/>
          <w:sz w:val="24"/>
          <w:highlight w:val="none"/>
        </w:rPr>
      </w:pPr>
      <w:bookmarkStart w:id="378" w:name="_Toc38747269"/>
      <w:r>
        <w:rPr>
          <w:rFonts w:hint="eastAsia" w:ascii="宋体" w:hAnsi="宋体" w:cs="宋体"/>
          <w:color w:val="auto"/>
          <w:sz w:val="24"/>
          <w:highlight w:val="none"/>
        </w:rPr>
        <w:t>7.1.2施工组织设计的提交和修改</w:t>
      </w:r>
      <w:bookmarkEnd w:id="378"/>
    </w:p>
    <w:p w14:paraId="23037647">
      <w:pPr>
        <w:adjustRightInd w:val="0"/>
        <w:snapToGrid w:val="0"/>
        <w:spacing w:line="360" w:lineRule="auto"/>
        <w:ind w:firstLine="480" w:firstLineChars="200"/>
        <w:outlineLvl w:val="0"/>
        <w:rPr>
          <w:rFonts w:hint="eastAsia" w:ascii="宋体" w:hAnsi="宋体" w:cs="宋体"/>
          <w:color w:val="auto"/>
          <w:sz w:val="24"/>
          <w:highlight w:val="none"/>
          <w:u w:val="single"/>
        </w:rPr>
      </w:pPr>
      <w:bookmarkStart w:id="379" w:name="_Toc38747270"/>
      <w:r>
        <w:rPr>
          <w:rFonts w:hint="eastAsia" w:ascii="宋体" w:hAnsi="宋体" w:cs="宋体"/>
          <w:color w:val="auto"/>
          <w:sz w:val="24"/>
          <w:highlight w:val="none"/>
        </w:rPr>
        <w:t>承包人提交详细施工组织设计的期限的约定：</w:t>
      </w:r>
      <w:r>
        <w:rPr>
          <w:rFonts w:hint="eastAsia" w:ascii="宋体" w:hAnsi="宋体" w:cs="宋体"/>
          <w:color w:val="auto"/>
          <w:sz w:val="24"/>
          <w:highlight w:val="none"/>
          <w:u w:val="single"/>
        </w:rPr>
        <w:t>合同签订后7天内。</w:t>
      </w:r>
      <w:bookmarkEnd w:id="379"/>
    </w:p>
    <w:p w14:paraId="0F6B13F9">
      <w:pPr>
        <w:adjustRightInd w:val="0"/>
        <w:snapToGrid w:val="0"/>
        <w:spacing w:line="360" w:lineRule="auto"/>
        <w:ind w:firstLine="480" w:firstLineChars="200"/>
        <w:outlineLvl w:val="0"/>
        <w:rPr>
          <w:rFonts w:hint="eastAsia" w:ascii="宋体" w:hAnsi="宋体" w:cs="宋体"/>
          <w:color w:val="auto"/>
          <w:sz w:val="24"/>
          <w:highlight w:val="none"/>
          <w:u w:val="single"/>
        </w:rPr>
      </w:pPr>
      <w:bookmarkStart w:id="380" w:name="_Toc38747271"/>
      <w:r>
        <w:rPr>
          <w:rFonts w:hint="eastAsia" w:ascii="宋体" w:hAnsi="宋体" w:cs="宋体"/>
          <w:color w:val="auto"/>
          <w:sz w:val="24"/>
          <w:highlight w:val="none"/>
        </w:rPr>
        <w:t>发包人和监理人在收到详细的施工组织设计后确认或提出修改意见的期限：</w:t>
      </w:r>
      <w:r>
        <w:rPr>
          <w:rFonts w:hint="eastAsia" w:ascii="宋体" w:hAnsi="宋体" w:cs="宋体"/>
          <w:color w:val="auto"/>
          <w:sz w:val="24"/>
          <w:highlight w:val="none"/>
          <w:u w:val="single"/>
        </w:rPr>
        <w:t xml:space="preserve"> 7天内。</w:t>
      </w:r>
      <w:bookmarkEnd w:id="380"/>
    </w:p>
    <w:p w14:paraId="6FEEE21F">
      <w:pPr>
        <w:adjustRightInd w:val="0"/>
        <w:snapToGrid w:val="0"/>
        <w:spacing w:line="360" w:lineRule="auto"/>
        <w:ind w:firstLine="480" w:firstLineChars="200"/>
        <w:outlineLvl w:val="0"/>
        <w:rPr>
          <w:rFonts w:hint="eastAsia" w:ascii="宋体" w:hAnsi="宋体" w:cs="宋体"/>
          <w:color w:val="auto"/>
          <w:sz w:val="24"/>
          <w:highlight w:val="none"/>
        </w:rPr>
      </w:pPr>
      <w:bookmarkStart w:id="381" w:name="_Toc38747272"/>
      <w:r>
        <w:rPr>
          <w:rFonts w:hint="eastAsia" w:ascii="宋体" w:hAnsi="宋体" w:cs="宋体"/>
          <w:color w:val="auto"/>
          <w:sz w:val="24"/>
          <w:highlight w:val="none"/>
        </w:rPr>
        <w:t>7.2施工进度计划</w:t>
      </w:r>
      <w:bookmarkEnd w:id="381"/>
    </w:p>
    <w:p w14:paraId="6B966CE0">
      <w:pPr>
        <w:adjustRightInd w:val="0"/>
        <w:snapToGrid w:val="0"/>
        <w:spacing w:line="360" w:lineRule="auto"/>
        <w:ind w:firstLine="480" w:firstLineChars="200"/>
        <w:outlineLvl w:val="0"/>
        <w:rPr>
          <w:rFonts w:hint="eastAsia" w:ascii="宋体" w:hAnsi="宋体" w:cs="宋体"/>
          <w:color w:val="auto"/>
          <w:sz w:val="24"/>
          <w:highlight w:val="none"/>
        </w:rPr>
      </w:pPr>
      <w:bookmarkStart w:id="382" w:name="_Toc38747273"/>
      <w:r>
        <w:rPr>
          <w:rFonts w:hint="eastAsia" w:ascii="宋体" w:hAnsi="宋体" w:cs="宋体"/>
          <w:color w:val="auto"/>
          <w:sz w:val="24"/>
          <w:highlight w:val="none"/>
        </w:rPr>
        <w:t>7.2.2施工进度计划的修订</w:t>
      </w:r>
      <w:bookmarkEnd w:id="382"/>
    </w:p>
    <w:p w14:paraId="0AF58D0B">
      <w:pPr>
        <w:adjustRightInd w:val="0"/>
        <w:snapToGrid w:val="0"/>
        <w:spacing w:line="360" w:lineRule="auto"/>
        <w:ind w:firstLine="480" w:firstLineChars="200"/>
        <w:outlineLvl w:val="0"/>
        <w:rPr>
          <w:rFonts w:hint="eastAsia" w:ascii="宋体" w:hAnsi="宋体" w:cs="宋体"/>
          <w:color w:val="auto"/>
          <w:sz w:val="24"/>
          <w:highlight w:val="none"/>
        </w:rPr>
      </w:pPr>
      <w:bookmarkStart w:id="383" w:name="_Toc38747274"/>
      <w:r>
        <w:rPr>
          <w:rFonts w:hint="eastAsia" w:ascii="宋体" w:hAnsi="宋体" w:cs="宋体"/>
          <w:color w:val="auto"/>
          <w:sz w:val="24"/>
          <w:highlight w:val="none"/>
        </w:rPr>
        <w:t>发包人和监理人在收到修订的施工进度计划后确认或提出修改意见的期限：</w:t>
      </w:r>
      <w:r>
        <w:rPr>
          <w:rFonts w:hint="eastAsia" w:ascii="宋体" w:hAnsi="宋体" w:cs="宋体"/>
          <w:color w:val="auto"/>
          <w:sz w:val="24"/>
          <w:highlight w:val="none"/>
          <w:u w:val="single"/>
        </w:rPr>
        <w:t>合同签订后7天内。</w:t>
      </w:r>
      <w:bookmarkEnd w:id="383"/>
    </w:p>
    <w:p w14:paraId="6EC1018E">
      <w:pPr>
        <w:adjustRightInd w:val="0"/>
        <w:snapToGrid w:val="0"/>
        <w:spacing w:line="360" w:lineRule="auto"/>
        <w:ind w:firstLine="480" w:firstLineChars="200"/>
        <w:outlineLvl w:val="0"/>
        <w:rPr>
          <w:rFonts w:hint="eastAsia" w:ascii="宋体" w:hAnsi="宋体" w:cs="宋体"/>
          <w:color w:val="auto"/>
          <w:sz w:val="24"/>
          <w:highlight w:val="none"/>
        </w:rPr>
      </w:pPr>
      <w:bookmarkStart w:id="384" w:name="_Toc38747275"/>
      <w:r>
        <w:rPr>
          <w:rFonts w:hint="eastAsia" w:ascii="宋体" w:hAnsi="宋体" w:cs="宋体"/>
          <w:color w:val="auto"/>
          <w:sz w:val="24"/>
          <w:highlight w:val="none"/>
        </w:rPr>
        <w:t>7.3开工</w:t>
      </w:r>
      <w:bookmarkEnd w:id="384"/>
    </w:p>
    <w:p w14:paraId="7C086B84">
      <w:pPr>
        <w:adjustRightInd w:val="0"/>
        <w:snapToGrid w:val="0"/>
        <w:spacing w:line="360" w:lineRule="auto"/>
        <w:ind w:firstLine="480" w:firstLineChars="200"/>
        <w:outlineLvl w:val="0"/>
        <w:rPr>
          <w:rFonts w:hint="eastAsia" w:ascii="宋体" w:hAnsi="宋体" w:cs="宋体"/>
          <w:color w:val="auto"/>
          <w:sz w:val="24"/>
          <w:highlight w:val="none"/>
        </w:rPr>
      </w:pPr>
      <w:bookmarkStart w:id="385" w:name="_Toc38747276"/>
      <w:r>
        <w:rPr>
          <w:rFonts w:hint="eastAsia" w:ascii="宋体" w:hAnsi="宋体" w:cs="宋体"/>
          <w:color w:val="auto"/>
          <w:sz w:val="24"/>
          <w:highlight w:val="none"/>
        </w:rPr>
        <w:t>7.3.1开工准备</w:t>
      </w:r>
      <w:bookmarkEnd w:id="385"/>
    </w:p>
    <w:p w14:paraId="32ECB152">
      <w:pPr>
        <w:adjustRightInd w:val="0"/>
        <w:snapToGrid w:val="0"/>
        <w:spacing w:line="360" w:lineRule="auto"/>
        <w:ind w:firstLine="480" w:firstLineChars="200"/>
        <w:outlineLvl w:val="0"/>
        <w:rPr>
          <w:rFonts w:hint="eastAsia" w:ascii="宋体" w:hAnsi="宋体" w:cs="宋体"/>
          <w:color w:val="auto"/>
          <w:sz w:val="24"/>
          <w:highlight w:val="none"/>
        </w:rPr>
      </w:pPr>
      <w:bookmarkStart w:id="386" w:name="_Toc38747277"/>
      <w:r>
        <w:rPr>
          <w:rFonts w:hint="eastAsia" w:ascii="宋体" w:hAnsi="宋体" w:cs="宋体"/>
          <w:color w:val="auto"/>
          <w:sz w:val="24"/>
          <w:highlight w:val="none"/>
        </w:rPr>
        <w:t>关于承包人提交工程开工报审表的期限：</w:t>
      </w:r>
      <w:r>
        <w:rPr>
          <w:rFonts w:hint="eastAsia" w:ascii="宋体" w:hAnsi="宋体" w:cs="宋体"/>
          <w:color w:val="auto"/>
          <w:sz w:val="24"/>
          <w:highlight w:val="none"/>
          <w:u w:val="single"/>
        </w:rPr>
        <w:t>合同签订后7天内。</w:t>
      </w:r>
      <w:bookmarkEnd w:id="386"/>
    </w:p>
    <w:p w14:paraId="16E743D3">
      <w:pPr>
        <w:adjustRightInd w:val="0"/>
        <w:snapToGrid w:val="0"/>
        <w:spacing w:line="360" w:lineRule="auto"/>
        <w:ind w:firstLine="480" w:firstLineChars="200"/>
        <w:outlineLvl w:val="0"/>
        <w:rPr>
          <w:rFonts w:hint="eastAsia" w:ascii="宋体" w:hAnsi="宋体" w:cs="宋体"/>
          <w:color w:val="auto"/>
          <w:sz w:val="24"/>
          <w:highlight w:val="none"/>
          <w:u w:val="single"/>
        </w:rPr>
      </w:pPr>
      <w:bookmarkStart w:id="387" w:name="_Toc38747278"/>
      <w:r>
        <w:rPr>
          <w:rFonts w:hint="eastAsia" w:ascii="宋体" w:hAnsi="宋体" w:cs="宋体"/>
          <w:color w:val="auto"/>
          <w:sz w:val="24"/>
          <w:highlight w:val="none"/>
        </w:rPr>
        <w:t>关于发包人应完成的其他开工准备工作及期限：</w:t>
      </w:r>
      <w:bookmarkEnd w:id="387"/>
      <w:r>
        <w:rPr>
          <w:rFonts w:hint="eastAsia" w:ascii="宋体" w:hAnsi="宋体" w:cs="宋体"/>
          <w:color w:val="auto"/>
          <w:sz w:val="24"/>
          <w:highlight w:val="none"/>
          <w:u w:val="single"/>
        </w:rPr>
        <w:t xml:space="preserve">     /      </w:t>
      </w:r>
    </w:p>
    <w:p w14:paraId="2BCB14EF">
      <w:pPr>
        <w:adjustRightInd w:val="0"/>
        <w:snapToGrid w:val="0"/>
        <w:spacing w:line="360" w:lineRule="auto"/>
        <w:ind w:firstLine="480" w:firstLineChars="200"/>
        <w:outlineLvl w:val="0"/>
        <w:rPr>
          <w:rFonts w:hint="eastAsia" w:ascii="宋体" w:hAnsi="宋体" w:cs="宋体"/>
          <w:color w:val="auto"/>
          <w:sz w:val="24"/>
          <w:highlight w:val="none"/>
          <w:u w:val="single"/>
        </w:rPr>
      </w:pPr>
      <w:bookmarkStart w:id="388" w:name="_Toc38747279"/>
      <w:r>
        <w:rPr>
          <w:rFonts w:hint="eastAsia" w:ascii="宋体" w:hAnsi="宋体" w:cs="宋体"/>
          <w:color w:val="auto"/>
          <w:sz w:val="24"/>
          <w:highlight w:val="none"/>
        </w:rPr>
        <w:t>关于承包人应完成的其他开工准备工作及期限：</w:t>
      </w:r>
      <w:bookmarkEnd w:id="388"/>
      <w:r>
        <w:rPr>
          <w:rFonts w:hint="eastAsia" w:ascii="宋体" w:hAnsi="宋体" w:cs="宋体"/>
          <w:color w:val="auto"/>
          <w:sz w:val="24"/>
          <w:highlight w:val="none"/>
          <w:u w:val="single"/>
        </w:rPr>
        <w:t xml:space="preserve">     /      </w:t>
      </w:r>
    </w:p>
    <w:p w14:paraId="51A771DE">
      <w:pPr>
        <w:adjustRightInd w:val="0"/>
        <w:snapToGrid w:val="0"/>
        <w:spacing w:line="360" w:lineRule="auto"/>
        <w:ind w:firstLine="480" w:firstLineChars="200"/>
        <w:outlineLvl w:val="0"/>
        <w:rPr>
          <w:rFonts w:hint="eastAsia" w:ascii="宋体" w:hAnsi="宋体" w:cs="宋体"/>
          <w:color w:val="auto"/>
          <w:sz w:val="24"/>
          <w:highlight w:val="none"/>
        </w:rPr>
      </w:pPr>
      <w:bookmarkStart w:id="389" w:name="_Toc38747280"/>
      <w:r>
        <w:rPr>
          <w:rFonts w:hint="eastAsia" w:ascii="宋体" w:hAnsi="宋体" w:cs="宋体"/>
          <w:color w:val="auto"/>
          <w:sz w:val="24"/>
          <w:highlight w:val="none"/>
        </w:rPr>
        <w:t>7.3.2开工通知</w:t>
      </w:r>
      <w:bookmarkEnd w:id="389"/>
    </w:p>
    <w:p w14:paraId="48AE33F4">
      <w:pPr>
        <w:adjustRightInd w:val="0"/>
        <w:snapToGrid w:val="0"/>
        <w:spacing w:line="360" w:lineRule="auto"/>
        <w:ind w:firstLine="480" w:firstLineChars="200"/>
        <w:outlineLvl w:val="0"/>
        <w:rPr>
          <w:rFonts w:hint="eastAsia" w:ascii="宋体" w:hAnsi="宋体" w:cs="宋体"/>
          <w:color w:val="auto"/>
          <w:sz w:val="24"/>
          <w:highlight w:val="none"/>
        </w:rPr>
      </w:pPr>
      <w:bookmarkStart w:id="390" w:name="_Toc38747281"/>
      <w:r>
        <w:rPr>
          <w:rFonts w:hint="eastAsia" w:ascii="宋体" w:hAnsi="宋体" w:cs="宋体"/>
          <w:color w:val="auto"/>
          <w:sz w:val="24"/>
          <w:highlight w:val="none"/>
        </w:rPr>
        <w:t>因发包人原因造成监理人未能在计划开工日期之日起</w:t>
      </w:r>
      <w:r>
        <w:rPr>
          <w:rFonts w:hint="eastAsia" w:ascii="宋体" w:hAnsi="宋体" w:cs="宋体"/>
          <w:color w:val="auto"/>
          <w:sz w:val="24"/>
          <w:highlight w:val="none"/>
          <w:u w:val="single"/>
        </w:rPr>
        <w:t>180</w:t>
      </w:r>
      <w:r>
        <w:rPr>
          <w:rFonts w:hint="eastAsia" w:ascii="宋体" w:hAnsi="宋体" w:cs="宋体"/>
          <w:color w:val="auto"/>
          <w:sz w:val="24"/>
          <w:highlight w:val="none"/>
        </w:rPr>
        <w:t>天内发出开工通知的，承包人有权提出价格调整要求，或者解除合同。</w:t>
      </w:r>
      <w:bookmarkEnd w:id="390"/>
    </w:p>
    <w:p w14:paraId="3C5F0A59">
      <w:pPr>
        <w:adjustRightInd w:val="0"/>
        <w:snapToGrid w:val="0"/>
        <w:spacing w:line="360" w:lineRule="auto"/>
        <w:ind w:firstLine="480" w:firstLineChars="200"/>
        <w:outlineLvl w:val="0"/>
        <w:rPr>
          <w:rFonts w:hint="eastAsia" w:ascii="宋体" w:hAnsi="宋体" w:cs="宋体"/>
          <w:color w:val="auto"/>
          <w:sz w:val="24"/>
          <w:highlight w:val="none"/>
        </w:rPr>
      </w:pPr>
      <w:bookmarkStart w:id="391" w:name="_Toc38747282"/>
      <w:r>
        <w:rPr>
          <w:rFonts w:hint="eastAsia" w:ascii="宋体" w:hAnsi="宋体" w:cs="宋体"/>
          <w:color w:val="auto"/>
          <w:sz w:val="24"/>
          <w:highlight w:val="none"/>
        </w:rPr>
        <w:t>7.4测量放线</w:t>
      </w:r>
      <w:bookmarkEnd w:id="391"/>
    </w:p>
    <w:p w14:paraId="2FA219DE">
      <w:pPr>
        <w:adjustRightInd w:val="0"/>
        <w:snapToGrid w:val="0"/>
        <w:spacing w:line="360" w:lineRule="auto"/>
        <w:ind w:firstLine="480" w:firstLineChars="200"/>
        <w:outlineLvl w:val="0"/>
        <w:rPr>
          <w:rFonts w:hint="eastAsia" w:ascii="宋体" w:hAnsi="宋体" w:cs="宋体"/>
          <w:color w:val="auto"/>
          <w:sz w:val="24"/>
          <w:highlight w:val="none"/>
        </w:rPr>
      </w:pPr>
      <w:bookmarkStart w:id="392" w:name="_Toc38747283"/>
      <w:r>
        <w:rPr>
          <w:rFonts w:hint="eastAsia" w:ascii="宋体" w:hAnsi="宋体" w:cs="宋体"/>
          <w:color w:val="auto"/>
          <w:sz w:val="24"/>
          <w:highlight w:val="none"/>
        </w:rPr>
        <w:t>7.4.1发包人通过监理人向承包人提供测量基准点、基准线和水准点及其书面资料的期限：</w:t>
      </w:r>
      <w:r>
        <w:rPr>
          <w:rFonts w:hint="eastAsia" w:ascii="宋体" w:hAnsi="宋体" w:cs="宋体"/>
          <w:color w:val="auto"/>
          <w:sz w:val="24"/>
          <w:highlight w:val="none"/>
          <w:u w:val="single"/>
        </w:rPr>
        <w:t>开工日期前7天。</w:t>
      </w:r>
      <w:bookmarkEnd w:id="392"/>
    </w:p>
    <w:p w14:paraId="2064CB9D">
      <w:pPr>
        <w:adjustRightInd w:val="0"/>
        <w:snapToGrid w:val="0"/>
        <w:spacing w:line="360" w:lineRule="auto"/>
        <w:ind w:firstLine="480" w:firstLineChars="200"/>
        <w:outlineLvl w:val="0"/>
        <w:rPr>
          <w:rFonts w:hint="eastAsia" w:ascii="宋体" w:hAnsi="宋体" w:cs="宋体"/>
          <w:color w:val="auto"/>
          <w:sz w:val="24"/>
          <w:highlight w:val="none"/>
        </w:rPr>
      </w:pPr>
      <w:bookmarkStart w:id="393" w:name="_Toc38747284"/>
      <w:r>
        <w:rPr>
          <w:rFonts w:hint="eastAsia" w:ascii="宋体" w:hAnsi="宋体" w:cs="宋体"/>
          <w:color w:val="auto"/>
          <w:sz w:val="24"/>
          <w:highlight w:val="none"/>
        </w:rPr>
        <w:t>7.5工期延误</w:t>
      </w:r>
      <w:bookmarkEnd w:id="393"/>
    </w:p>
    <w:p w14:paraId="21F9426F">
      <w:pPr>
        <w:adjustRightInd w:val="0"/>
        <w:snapToGrid w:val="0"/>
        <w:spacing w:line="360" w:lineRule="auto"/>
        <w:ind w:firstLine="480" w:firstLineChars="200"/>
        <w:outlineLvl w:val="0"/>
        <w:rPr>
          <w:rFonts w:hint="eastAsia" w:ascii="宋体" w:hAnsi="宋体" w:cs="宋体"/>
          <w:color w:val="auto"/>
          <w:sz w:val="24"/>
          <w:highlight w:val="none"/>
        </w:rPr>
      </w:pPr>
      <w:bookmarkStart w:id="394" w:name="_Toc38747285"/>
      <w:r>
        <w:rPr>
          <w:rFonts w:hint="eastAsia" w:ascii="宋体" w:hAnsi="宋体" w:cs="宋体"/>
          <w:color w:val="auto"/>
          <w:sz w:val="24"/>
          <w:highlight w:val="none"/>
        </w:rPr>
        <w:t>7.5.1因发包人原因导致工期延误</w:t>
      </w:r>
      <w:bookmarkEnd w:id="394"/>
    </w:p>
    <w:p w14:paraId="1102CD4C">
      <w:pPr>
        <w:numPr>
          <w:ilvl w:val="0"/>
          <w:numId w:val="5"/>
        </w:numPr>
        <w:adjustRightInd w:val="0"/>
        <w:snapToGrid w:val="0"/>
        <w:spacing w:line="360" w:lineRule="auto"/>
        <w:ind w:firstLine="480" w:firstLineChars="200"/>
        <w:outlineLvl w:val="0"/>
        <w:rPr>
          <w:rFonts w:hint="eastAsia" w:ascii="宋体" w:hAnsi="宋体" w:cs="宋体"/>
          <w:color w:val="auto"/>
          <w:sz w:val="24"/>
          <w:highlight w:val="none"/>
        </w:rPr>
      </w:pPr>
      <w:bookmarkStart w:id="395" w:name="_Toc38747286"/>
      <w:r>
        <w:rPr>
          <w:rFonts w:hint="eastAsia" w:ascii="宋体" w:hAnsi="宋体" w:cs="宋体"/>
          <w:color w:val="auto"/>
          <w:sz w:val="24"/>
          <w:highlight w:val="none"/>
        </w:rPr>
        <w:t>因发包人原因导致工期延误的其他情形：</w:t>
      </w:r>
      <w:r>
        <w:rPr>
          <w:rFonts w:hint="eastAsia" w:ascii="宋体" w:hAnsi="宋体" w:cs="宋体"/>
          <w:color w:val="auto"/>
          <w:sz w:val="24"/>
          <w:highlight w:val="none"/>
          <w:u w:val="single"/>
        </w:rPr>
        <w:t>/。</w:t>
      </w:r>
      <w:bookmarkEnd w:id="395"/>
    </w:p>
    <w:p w14:paraId="063996BB">
      <w:pPr>
        <w:adjustRightInd w:val="0"/>
        <w:snapToGrid w:val="0"/>
        <w:spacing w:line="360" w:lineRule="auto"/>
        <w:ind w:firstLine="480" w:firstLineChars="200"/>
        <w:outlineLvl w:val="0"/>
        <w:rPr>
          <w:rFonts w:hint="eastAsia" w:ascii="宋体" w:hAnsi="宋体" w:cs="宋体"/>
          <w:color w:val="auto"/>
          <w:sz w:val="24"/>
          <w:highlight w:val="none"/>
        </w:rPr>
      </w:pPr>
      <w:bookmarkStart w:id="396" w:name="_Toc38747287"/>
      <w:r>
        <w:rPr>
          <w:rFonts w:hint="eastAsia" w:ascii="宋体" w:hAnsi="宋体" w:cs="宋体"/>
          <w:color w:val="auto"/>
          <w:sz w:val="24"/>
          <w:highlight w:val="none"/>
        </w:rPr>
        <w:t>7.5.2因承包人原因导致工期延误</w:t>
      </w:r>
      <w:bookmarkEnd w:id="396"/>
    </w:p>
    <w:p w14:paraId="6A050F2A">
      <w:pPr>
        <w:adjustRightInd w:val="0"/>
        <w:snapToGrid w:val="0"/>
        <w:spacing w:line="360" w:lineRule="auto"/>
        <w:ind w:firstLine="480" w:firstLineChars="200"/>
        <w:outlineLvl w:val="0"/>
        <w:rPr>
          <w:rFonts w:hint="eastAsia" w:ascii="宋体" w:hAnsi="宋体" w:cs="宋体"/>
          <w:color w:val="auto"/>
          <w:sz w:val="24"/>
          <w:highlight w:val="none"/>
          <w:u w:val="single"/>
        </w:rPr>
      </w:pPr>
      <w:bookmarkStart w:id="397" w:name="_Toc38747288"/>
      <w:r>
        <w:rPr>
          <w:rFonts w:hint="eastAsia" w:ascii="宋体" w:hAnsi="宋体" w:cs="宋体"/>
          <w:color w:val="auto"/>
          <w:sz w:val="24"/>
          <w:highlight w:val="none"/>
        </w:rPr>
        <w:t>因承包人原因造成工期延误，逾期竣工违约金的计算方法为：</w:t>
      </w:r>
      <w:r>
        <w:rPr>
          <w:rFonts w:hint="eastAsia" w:ascii="宋体" w:hAnsi="宋体" w:cs="宋体"/>
          <w:b/>
          <w:color w:val="auto"/>
          <w:sz w:val="24"/>
          <w:highlight w:val="none"/>
          <w:u w:val="single"/>
        </w:rPr>
        <w:t>每拖延一天承包人须按</w:t>
      </w:r>
      <w:r>
        <w:rPr>
          <w:rFonts w:hint="eastAsia" w:ascii="宋体" w:hAnsi="宋体" w:cs="宋体"/>
          <w:b/>
          <w:bCs/>
          <w:color w:val="auto"/>
          <w:sz w:val="24"/>
          <w:highlight w:val="none"/>
          <w:u w:val="single"/>
        </w:rPr>
        <w:t>中标价的万分之八</w:t>
      </w:r>
      <w:r>
        <w:rPr>
          <w:rFonts w:hint="eastAsia" w:ascii="宋体" w:hAnsi="宋体" w:cs="宋体"/>
          <w:b/>
          <w:color w:val="auto"/>
          <w:sz w:val="24"/>
          <w:highlight w:val="none"/>
          <w:u w:val="single"/>
        </w:rPr>
        <w:t>支付违约金</w:t>
      </w:r>
      <w:r>
        <w:rPr>
          <w:rFonts w:hint="eastAsia" w:ascii="宋体" w:hAnsi="宋体" w:cs="宋体"/>
          <w:color w:val="auto"/>
          <w:sz w:val="24"/>
          <w:highlight w:val="none"/>
          <w:u w:val="single"/>
        </w:rPr>
        <w:t>。</w:t>
      </w:r>
      <w:bookmarkEnd w:id="397"/>
      <w:r>
        <w:rPr>
          <w:rFonts w:hint="eastAsia" w:ascii="宋体" w:hAnsi="宋体" w:cs="宋体"/>
          <w:color w:val="auto"/>
          <w:sz w:val="24"/>
          <w:highlight w:val="none"/>
          <w:u w:val="single"/>
        </w:rPr>
        <w:t xml:space="preserve"> </w:t>
      </w:r>
    </w:p>
    <w:p w14:paraId="3215EBC1">
      <w:pPr>
        <w:adjustRightInd w:val="0"/>
        <w:snapToGrid w:val="0"/>
        <w:spacing w:line="360" w:lineRule="auto"/>
        <w:ind w:firstLine="480" w:firstLineChars="200"/>
        <w:outlineLvl w:val="0"/>
        <w:rPr>
          <w:rFonts w:hint="eastAsia" w:ascii="宋体" w:hAnsi="宋体" w:cs="宋体"/>
          <w:color w:val="auto"/>
          <w:sz w:val="24"/>
          <w:highlight w:val="none"/>
        </w:rPr>
      </w:pPr>
      <w:bookmarkStart w:id="398" w:name="_Toc38747289"/>
      <w:r>
        <w:rPr>
          <w:rFonts w:hint="eastAsia" w:ascii="宋体" w:hAnsi="宋体" w:cs="宋体"/>
          <w:color w:val="auto"/>
          <w:sz w:val="24"/>
          <w:highlight w:val="none"/>
        </w:rPr>
        <w:t>因承包人原因造成工期延误，逾期竣工违约金的上限</w:t>
      </w:r>
      <w:r>
        <w:rPr>
          <w:rFonts w:hint="eastAsia" w:ascii="宋体" w:hAnsi="宋体" w:cs="宋体"/>
          <w:color w:val="auto"/>
          <w:sz w:val="24"/>
          <w:highlight w:val="none"/>
          <w:u w:val="single"/>
        </w:rPr>
        <w:t>：无上限。</w:t>
      </w:r>
      <w:bookmarkEnd w:id="398"/>
    </w:p>
    <w:p w14:paraId="1D841273">
      <w:pPr>
        <w:adjustRightInd w:val="0"/>
        <w:snapToGrid w:val="0"/>
        <w:spacing w:line="360" w:lineRule="auto"/>
        <w:ind w:firstLine="480" w:firstLineChars="200"/>
        <w:outlineLvl w:val="0"/>
        <w:rPr>
          <w:rFonts w:hint="eastAsia" w:ascii="宋体" w:hAnsi="宋体" w:cs="宋体"/>
          <w:color w:val="auto"/>
          <w:sz w:val="24"/>
          <w:highlight w:val="none"/>
        </w:rPr>
      </w:pPr>
      <w:bookmarkStart w:id="399" w:name="_Toc38747290"/>
      <w:r>
        <w:rPr>
          <w:rFonts w:hint="eastAsia" w:ascii="宋体" w:hAnsi="宋体" w:cs="宋体"/>
          <w:color w:val="auto"/>
          <w:sz w:val="24"/>
          <w:highlight w:val="none"/>
        </w:rPr>
        <w:t>7.6不利物质条件</w:t>
      </w:r>
      <w:bookmarkEnd w:id="399"/>
    </w:p>
    <w:p w14:paraId="6BCB70B7">
      <w:pPr>
        <w:adjustRightInd w:val="0"/>
        <w:snapToGrid w:val="0"/>
        <w:spacing w:line="360" w:lineRule="auto"/>
        <w:ind w:firstLine="480" w:firstLineChars="200"/>
        <w:outlineLvl w:val="0"/>
        <w:rPr>
          <w:rFonts w:hint="eastAsia" w:ascii="宋体" w:hAnsi="宋体" w:cs="宋体"/>
          <w:color w:val="auto"/>
          <w:sz w:val="24"/>
          <w:highlight w:val="none"/>
        </w:rPr>
      </w:pPr>
      <w:bookmarkStart w:id="400" w:name="_Toc38747291"/>
      <w:r>
        <w:rPr>
          <w:rFonts w:hint="eastAsia" w:ascii="宋体" w:hAnsi="宋体" w:cs="宋体"/>
          <w:color w:val="auto"/>
          <w:sz w:val="24"/>
          <w:highlight w:val="none"/>
        </w:rPr>
        <w:t>不利物质条件的其他情形和有关约定：</w:t>
      </w:r>
      <w:r>
        <w:rPr>
          <w:rFonts w:hint="eastAsia" w:ascii="宋体" w:hAnsi="宋体" w:cs="宋体"/>
          <w:color w:val="auto"/>
          <w:sz w:val="24"/>
          <w:highlight w:val="none"/>
          <w:u w:val="single"/>
        </w:rPr>
        <w:t>/。</w:t>
      </w:r>
      <w:bookmarkEnd w:id="400"/>
    </w:p>
    <w:p w14:paraId="2C290E93">
      <w:pPr>
        <w:adjustRightInd w:val="0"/>
        <w:snapToGrid w:val="0"/>
        <w:spacing w:line="360" w:lineRule="auto"/>
        <w:ind w:firstLine="480" w:firstLineChars="200"/>
        <w:outlineLvl w:val="0"/>
        <w:rPr>
          <w:rFonts w:hint="eastAsia" w:ascii="宋体" w:hAnsi="宋体" w:cs="宋体"/>
          <w:color w:val="auto"/>
          <w:sz w:val="24"/>
          <w:highlight w:val="none"/>
        </w:rPr>
      </w:pPr>
      <w:bookmarkStart w:id="401" w:name="_Toc38747292"/>
      <w:r>
        <w:rPr>
          <w:rFonts w:hint="eastAsia" w:ascii="宋体" w:hAnsi="宋体" w:cs="宋体"/>
          <w:color w:val="auto"/>
          <w:sz w:val="24"/>
          <w:highlight w:val="none"/>
        </w:rPr>
        <w:t>7.7异常恶劣的气候条件</w:t>
      </w:r>
      <w:bookmarkEnd w:id="401"/>
    </w:p>
    <w:p w14:paraId="48ED8C48">
      <w:pPr>
        <w:adjustRightInd w:val="0"/>
        <w:snapToGrid w:val="0"/>
        <w:spacing w:line="360" w:lineRule="auto"/>
        <w:ind w:firstLine="480" w:firstLineChars="200"/>
        <w:outlineLvl w:val="0"/>
        <w:rPr>
          <w:rFonts w:hint="eastAsia" w:ascii="宋体" w:hAnsi="宋体" w:cs="宋体"/>
          <w:color w:val="auto"/>
          <w:sz w:val="24"/>
          <w:highlight w:val="none"/>
        </w:rPr>
      </w:pPr>
      <w:bookmarkStart w:id="402" w:name="_Toc38747293"/>
      <w:r>
        <w:rPr>
          <w:rFonts w:hint="eastAsia" w:ascii="宋体" w:hAnsi="宋体" w:cs="宋体"/>
          <w:color w:val="auto"/>
          <w:sz w:val="24"/>
          <w:highlight w:val="none"/>
        </w:rPr>
        <w:t>发包人和承包人同意以下情形视为异常恶劣的气候条件：</w:t>
      </w:r>
      <w:bookmarkEnd w:id="402"/>
    </w:p>
    <w:p w14:paraId="68AD25FE">
      <w:pPr>
        <w:adjustRightInd w:val="0"/>
        <w:snapToGrid w:val="0"/>
        <w:spacing w:line="360" w:lineRule="auto"/>
        <w:ind w:firstLine="480" w:firstLineChars="200"/>
        <w:outlineLvl w:val="0"/>
        <w:rPr>
          <w:rFonts w:hint="eastAsia" w:ascii="宋体" w:hAnsi="宋体" w:cs="宋体"/>
          <w:color w:val="auto"/>
          <w:sz w:val="24"/>
          <w:highlight w:val="none"/>
        </w:rPr>
      </w:pPr>
      <w:bookmarkStart w:id="403" w:name="_Toc38747294"/>
      <w:r>
        <w:rPr>
          <w:rFonts w:hint="eastAsia" w:ascii="宋体" w:hAnsi="宋体" w:cs="宋体"/>
          <w:color w:val="auto"/>
          <w:sz w:val="24"/>
          <w:highlight w:val="none"/>
        </w:rPr>
        <w:t>（1）</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403"/>
    </w:p>
    <w:p w14:paraId="397E5290">
      <w:pPr>
        <w:adjustRightInd w:val="0"/>
        <w:snapToGrid w:val="0"/>
        <w:spacing w:line="360" w:lineRule="auto"/>
        <w:ind w:firstLine="480" w:firstLineChars="200"/>
        <w:outlineLvl w:val="0"/>
        <w:rPr>
          <w:rFonts w:hint="eastAsia" w:ascii="宋体" w:hAnsi="宋体" w:cs="宋体"/>
          <w:color w:val="auto"/>
          <w:sz w:val="24"/>
          <w:highlight w:val="none"/>
        </w:rPr>
      </w:pPr>
      <w:bookmarkStart w:id="404" w:name="_Toc38747295"/>
      <w:r>
        <w:rPr>
          <w:rFonts w:hint="eastAsia" w:ascii="宋体" w:hAnsi="宋体" w:cs="宋体"/>
          <w:color w:val="auto"/>
          <w:sz w:val="24"/>
          <w:highlight w:val="none"/>
        </w:rPr>
        <w:t>（2）</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404"/>
    </w:p>
    <w:p w14:paraId="095BC3FE">
      <w:pPr>
        <w:adjustRightInd w:val="0"/>
        <w:snapToGrid w:val="0"/>
        <w:spacing w:line="360" w:lineRule="auto"/>
        <w:ind w:firstLine="480" w:firstLineChars="200"/>
        <w:outlineLvl w:val="0"/>
        <w:rPr>
          <w:rFonts w:hint="eastAsia" w:ascii="宋体" w:hAnsi="宋体" w:cs="宋体"/>
          <w:color w:val="auto"/>
          <w:sz w:val="24"/>
          <w:highlight w:val="none"/>
        </w:rPr>
      </w:pPr>
      <w:bookmarkStart w:id="405" w:name="_Toc38747296"/>
      <w:r>
        <w:rPr>
          <w:rFonts w:hint="eastAsia" w:ascii="宋体" w:hAnsi="宋体" w:cs="宋体"/>
          <w:color w:val="auto"/>
          <w:sz w:val="24"/>
          <w:highlight w:val="none"/>
        </w:rPr>
        <w:t>（3）</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405"/>
    </w:p>
    <w:p w14:paraId="498297F6">
      <w:pPr>
        <w:adjustRightInd w:val="0"/>
        <w:snapToGrid w:val="0"/>
        <w:spacing w:line="360" w:lineRule="auto"/>
        <w:ind w:firstLine="480" w:firstLineChars="200"/>
        <w:outlineLvl w:val="0"/>
        <w:rPr>
          <w:rFonts w:hint="eastAsia" w:ascii="宋体" w:hAnsi="宋体" w:cs="宋体"/>
          <w:color w:val="auto"/>
          <w:sz w:val="24"/>
          <w:highlight w:val="none"/>
        </w:rPr>
      </w:pPr>
      <w:bookmarkStart w:id="406" w:name="_Toc38747297"/>
      <w:r>
        <w:rPr>
          <w:rFonts w:hint="eastAsia" w:ascii="宋体" w:hAnsi="宋体" w:cs="宋体"/>
          <w:color w:val="auto"/>
          <w:sz w:val="24"/>
          <w:highlight w:val="none"/>
        </w:rPr>
        <w:t>7.9提前竣工的奖励</w:t>
      </w:r>
      <w:bookmarkEnd w:id="406"/>
    </w:p>
    <w:p w14:paraId="2583F9CE">
      <w:pPr>
        <w:adjustRightInd w:val="0"/>
        <w:snapToGrid w:val="0"/>
        <w:spacing w:line="360" w:lineRule="auto"/>
        <w:ind w:firstLine="480" w:firstLineChars="200"/>
        <w:outlineLvl w:val="0"/>
        <w:rPr>
          <w:rFonts w:hint="eastAsia" w:ascii="宋体" w:hAnsi="宋体" w:cs="宋体"/>
          <w:color w:val="auto"/>
          <w:sz w:val="24"/>
          <w:highlight w:val="none"/>
        </w:rPr>
      </w:pPr>
      <w:bookmarkStart w:id="407" w:name="_Toc38747298"/>
      <w:r>
        <w:rPr>
          <w:rFonts w:hint="eastAsia" w:ascii="宋体" w:hAnsi="宋体" w:cs="宋体"/>
          <w:color w:val="auto"/>
          <w:sz w:val="24"/>
          <w:highlight w:val="none"/>
        </w:rPr>
        <w:t>7.9.2提前竣工的奖励：</w:t>
      </w:r>
      <w:r>
        <w:rPr>
          <w:rFonts w:hint="eastAsia" w:ascii="宋体" w:hAnsi="宋体" w:cs="宋体"/>
          <w:color w:val="auto"/>
          <w:sz w:val="24"/>
          <w:highlight w:val="none"/>
          <w:u w:val="single"/>
        </w:rPr>
        <w:t>无</w:t>
      </w:r>
      <w:r>
        <w:rPr>
          <w:rFonts w:hint="eastAsia" w:ascii="宋体" w:hAnsi="宋体" w:cs="宋体"/>
          <w:color w:val="auto"/>
          <w:sz w:val="24"/>
          <w:highlight w:val="none"/>
        </w:rPr>
        <w:t>。</w:t>
      </w:r>
      <w:bookmarkEnd w:id="407"/>
    </w:p>
    <w:p w14:paraId="67577AAE">
      <w:pPr>
        <w:adjustRightInd w:val="0"/>
        <w:snapToGrid w:val="0"/>
        <w:spacing w:line="360" w:lineRule="auto"/>
        <w:ind w:firstLine="482" w:firstLineChars="200"/>
        <w:outlineLvl w:val="0"/>
        <w:rPr>
          <w:rFonts w:hint="eastAsia" w:ascii="宋体" w:hAnsi="宋体" w:cs="宋体"/>
          <w:b/>
          <w:color w:val="auto"/>
          <w:sz w:val="24"/>
          <w:highlight w:val="none"/>
          <w:lang w:val="zh-CN"/>
        </w:rPr>
      </w:pPr>
      <w:bookmarkStart w:id="408" w:name="_Toc38747299"/>
      <w:r>
        <w:rPr>
          <w:rFonts w:hint="eastAsia" w:ascii="宋体" w:hAnsi="宋体" w:cs="宋体"/>
          <w:b/>
          <w:color w:val="auto"/>
          <w:sz w:val="24"/>
          <w:highlight w:val="none"/>
          <w:lang w:val="zh-CN"/>
        </w:rPr>
        <w:t>8.材料与设备</w:t>
      </w:r>
      <w:bookmarkEnd w:id="408"/>
    </w:p>
    <w:p w14:paraId="59E3A78A">
      <w:pPr>
        <w:adjustRightInd w:val="0"/>
        <w:snapToGrid w:val="0"/>
        <w:spacing w:line="360" w:lineRule="auto"/>
        <w:ind w:firstLine="480" w:firstLineChars="200"/>
        <w:outlineLvl w:val="0"/>
        <w:rPr>
          <w:rFonts w:hint="eastAsia" w:ascii="宋体" w:hAnsi="宋体" w:cs="宋体"/>
          <w:color w:val="auto"/>
          <w:sz w:val="24"/>
          <w:highlight w:val="none"/>
        </w:rPr>
      </w:pPr>
      <w:bookmarkStart w:id="409" w:name="_Toc38747300"/>
      <w:r>
        <w:rPr>
          <w:rFonts w:hint="eastAsia" w:ascii="宋体" w:hAnsi="宋体" w:cs="宋体"/>
          <w:color w:val="auto"/>
          <w:sz w:val="24"/>
          <w:highlight w:val="none"/>
        </w:rPr>
        <w:t>8.1.1承包人负责采购材料设备的，应按照专用条款约定及设计和有关标准要求采购，并提供产品合格证明，对材料设备质量负责承包人在材料设备到货前24小时通知发包人、监理、跟踪审计清点、验收，验收合格后方可使用，不合格的不得使用，检验或试验费用由承包人承担。</w:t>
      </w:r>
      <w:r>
        <w:rPr>
          <w:rFonts w:hint="eastAsia" w:ascii="宋体" w:hAnsi="宋体" w:cs="宋体"/>
          <w:color w:val="auto"/>
          <w:sz w:val="24"/>
          <w:highlight w:val="none"/>
        </w:rPr>
        <w:br w:type="textWrapping"/>
      </w:r>
      <w:r>
        <w:rPr>
          <w:rFonts w:hint="eastAsia" w:ascii="宋体" w:hAnsi="宋体" w:cs="宋体"/>
          <w:color w:val="auto"/>
          <w:sz w:val="24"/>
          <w:highlight w:val="none"/>
        </w:rPr>
        <w:t xml:space="preserve">    8.1.2承包人采购的材料设备与设计或标准要求不符时，承包人应按工程师要求的时间运出施工场地，重新采购符合要求的产品，承担由此发生的费用，由此延误的工期不予顺延。</w:t>
      </w:r>
      <w:bookmarkEnd w:id="409"/>
    </w:p>
    <w:p w14:paraId="2880C2FE">
      <w:pPr>
        <w:adjustRightInd w:val="0"/>
        <w:snapToGrid w:val="0"/>
        <w:spacing w:line="360" w:lineRule="auto"/>
        <w:ind w:firstLine="480" w:firstLineChars="200"/>
        <w:outlineLvl w:val="0"/>
        <w:rPr>
          <w:rFonts w:hint="eastAsia" w:ascii="宋体" w:hAnsi="宋体" w:cs="宋体"/>
          <w:color w:val="auto"/>
          <w:sz w:val="24"/>
          <w:highlight w:val="none"/>
        </w:rPr>
      </w:pPr>
      <w:bookmarkStart w:id="410" w:name="_Toc38747301"/>
      <w:r>
        <w:rPr>
          <w:rFonts w:hint="eastAsia" w:ascii="宋体" w:hAnsi="宋体" w:cs="宋体"/>
          <w:color w:val="auto"/>
          <w:sz w:val="24"/>
          <w:highlight w:val="none"/>
        </w:rPr>
        <w:t>8.1.3工程师发现承包人采购并使用不符合设计或标准要求的材料设备时，应要求由承包人负责修复、拆除或重新采购，并承担发生的费用，由此延误的工期不予顺延。</w:t>
      </w:r>
      <w:r>
        <w:rPr>
          <w:rFonts w:hint="eastAsia" w:ascii="宋体" w:hAnsi="宋体" w:cs="宋体"/>
          <w:color w:val="auto"/>
          <w:sz w:val="24"/>
          <w:highlight w:val="none"/>
        </w:rPr>
        <w:br w:type="textWrapping"/>
      </w:r>
      <w:r>
        <w:rPr>
          <w:rFonts w:hint="eastAsia" w:ascii="宋体" w:hAnsi="宋体" w:cs="宋体"/>
          <w:color w:val="auto"/>
          <w:sz w:val="24"/>
          <w:highlight w:val="none"/>
        </w:rPr>
        <w:t xml:space="preserve">    8.1.4承包人需要使用代用材料时，应经工程师认可后才能使用。</w:t>
      </w:r>
      <w:bookmarkEnd w:id="410"/>
    </w:p>
    <w:p w14:paraId="48BCFFD3">
      <w:pPr>
        <w:adjustRightInd w:val="0"/>
        <w:snapToGrid w:val="0"/>
        <w:spacing w:line="360" w:lineRule="auto"/>
        <w:ind w:firstLine="480" w:firstLineChars="200"/>
        <w:outlineLvl w:val="0"/>
        <w:rPr>
          <w:rFonts w:hint="eastAsia" w:ascii="宋体" w:hAnsi="宋体" w:cs="宋体"/>
          <w:color w:val="auto"/>
          <w:sz w:val="24"/>
          <w:highlight w:val="none"/>
        </w:rPr>
      </w:pPr>
      <w:bookmarkStart w:id="411" w:name="_Toc38747302"/>
      <w:r>
        <w:rPr>
          <w:rFonts w:hint="eastAsia" w:ascii="宋体" w:hAnsi="宋体" w:cs="宋体"/>
          <w:color w:val="auto"/>
          <w:sz w:val="24"/>
          <w:highlight w:val="none"/>
        </w:rPr>
        <w:t>8</w:t>
      </w:r>
      <w:bookmarkStart w:id="412" w:name="_Toc296503167"/>
      <w:bookmarkStart w:id="413" w:name="_Toc296944506"/>
      <w:bookmarkStart w:id="414" w:name="_Toc296347166"/>
      <w:bookmarkStart w:id="415" w:name="_Toc297120467"/>
      <w:bookmarkStart w:id="416" w:name="_Toc296890995"/>
      <w:bookmarkStart w:id="417" w:name="_Toc304295556"/>
      <w:bookmarkStart w:id="418" w:name="_Toc303539136"/>
      <w:bookmarkStart w:id="419" w:name="_Toc297216186"/>
      <w:bookmarkStart w:id="420" w:name="_Toc296891207"/>
      <w:bookmarkStart w:id="421" w:name="_Toc292559877"/>
      <w:bookmarkStart w:id="422" w:name="_Toc297048353"/>
      <w:bookmarkStart w:id="423" w:name="_Toc300934979"/>
      <w:bookmarkStart w:id="424" w:name="_Toc292559372"/>
      <w:bookmarkStart w:id="425" w:name="_Toc280868654"/>
      <w:bookmarkStart w:id="426" w:name="_Toc312677493"/>
      <w:bookmarkStart w:id="427" w:name="_Toc296346668"/>
      <w:bookmarkStart w:id="428" w:name="_Toc312678019"/>
      <w:bookmarkStart w:id="429" w:name="_Toc297123527"/>
      <w:r>
        <w:rPr>
          <w:rFonts w:hint="eastAsia" w:ascii="宋体" w:hAnsi="宋体" w:cs="宋体"/>
          <w:color w:val="auto"/>
          <w:sz w:val="24"/>
          <w:highlight w:val="none"/>
        </w:rPr>
        <w:t>.4材料与工程设备的保管与使用</w:t>
      </w:r>
      <w:bookmarkEnd w:id="411"/>
    </w:p>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14:paraId="12F58E99">
      <w:pPr>
        <w:adjustRightInd w:val="0"/>
        <w:snapToGrid w:val="0"/>
        <w:spacing w:line="360" w:lineRule="auto"/>
        <w:ind w:firstLine="480" w:firstLineChars="200"/>
        <w:outlineLvl w:val="0"/>
        <w:rPr>
          <w:rFonts w:hint="eastAsia" w:ascii="宋体" w:hAnsi="宋体" w:cs="宋体"/>
          <w:color w:val="auto"/>
          <w:sz w:val="24"/>
          <w:highlight w:val="none"/>
        </w:rPr>
      </w:pPr>
      <w:bookmarkStart w:id="430" w:name="_Toc38747303"/>
      <w:r>
        <w:rPr>
          <w:rFonts w:hint="eastAsia" w:ascii="宋体" w:hAnsi="宋体" w:cs="宋体"/>
          <w:color w:val="auto"/>
          <w:sz w:val="24"/>
          <w:highlight w:val="none"/>
        </w:rPr>
        <w:t>8</w:t>
      </w:r>
      <w:bookmarkStart w:id="431" w:name="_Toc292559373"/>
      <w:bookmarkStart w:id="432" w:name="_Toc292559878"/>
      <w:r>
        <w:rPr>
          <w:rFonts w:hint="eastAsia" w:ascii="宋体" w:hAnsi="宋体" w:cs="宋体"/>
          <w:color w:val="auto"/>
          <w:sz w:val="24"/>
          <w:highlight w:val="none"/>
        </w:rPr>
        <w:t>.4.1发包人供应的材料设备的保管费用的承担：</w:t>
      </w:r>
      <w:r>
        <w:rPr>
          <w:rFonts w:hint="eastAsia" w:ascii="宋体" w:hAnsi="宋体" w:cs="宋体"/>
          <w:color w:val="auto"/>
          <w:sz w:val="24"/>
          <w:highlight w:val="none"/>
          <w:u w:val="single"/>
        </w:rPr>
        <w:t xml:space="preserve">由发包人承担 </w:t>
      </w:r>
      <w:r>
        <w:rPr>
          <w:rFonts w:hint="eastAsia" w:ascii="宋体" w:hAnsi="宋体" w:cs="宋体"/>
          <w:color w:val="auto"/>
          <w:sz w:val="24"/>
          <w:highlight w:val="none"/>
        </w:rPr>
        <w:t>。</w:t>
      </w:r>
      <w:bookmarkEnd w:id="430"/>
      <w:bookmarkEnd w:id="431"/>
      <w:bookmarkEnd w:id="432"/>
    </w:p>
    <w:p w14:paraId="0DD1657A">
      <w:pPr>
        <w:adjustRightInd w:val="0"/>
        <w:snapToGrid w:val="0"/>
        <w:spacing w:line="360" w:lineRule="auto"/>
        <w:ind w:firstLine="480" w:firstLineChars="200"/>
        <w:outlineLvl w:val="0"/>
        <w:rPr>
          <w:rFonts w:hint="eastAsia" w:ascii="宋体" w:hAnsi="宋体" w:cs="宋体"/>
          <w:color w:val="auto"/>
          <w:sz w:val="24"/>
          <w:highlight w:val="none"/>
        </w:rPr>
      </w:pPr>
      <w:bookmarkStart w:id="433" w:name="_Toc38747304"/>
      <w:r>
        <w:rPr>
          <w:rFonts w:hint="eastAsia" w:ascii="宋体" w:hAnsi="宋体" w:cs="宋体"/>
          <w:color w:val="auto"/>
          <w:sz w:val="24"/>
          <w:highlight w:val="none"/>
        </w:rPr>
        <w:t>8.6 样品</w:t>
      </w:r>
      <w:bookmarkEnd w:id="433"/>
    </w:p>
    <w:p w14:paraId="77FCB028">
      <w:pPr>
        <w:adjustRightInd w:val="0"/>
        <w:snapToGrid w:val="0"/>
        <w:spacing w:line="360" w:lineRule="auto"/>
        <w:ind w:firstLine="480" w:firstLineChars="200"/>
        <w:outlineLvl w:val="0"/>
        <w:rPr>
          <w:rFonts w:hint="eastAsia" w:ascii="宋体" w:hAnsi="宋体" w:cs="宋体"/>
          <w:color w:val="auto"/>
          <w:sz w:val="24"/>
          <w:highlight w:val="none"/>
        </w:rPr>
      </w:pPr>
      <w:bookmarkStart w:id="434" w:name="_Toc38747305"/>
      <w:r>
        <w:rPr>
          <w:rFonts w:hint="eastAsia" w:ascii="宋体" w:hAnsi="宋体" w:cs="宋体"/>
          <w:color w:val="auto"/>
          <w:sz w:val="24"/>
          <w:highlight w:val="none"/>
        </w:rPr>
        <w:t>8.6.1样品的报送与封存</w:t>
      </w:r>
      <w:bookmarkEnd w:id="434"/>
    </w:p>
    <w:p w14:paraId="4C854628">
      <w:pPr>
        <w:adjustRightInd w:val="0"/>
        <w:snapToGrid w:val="0"/>
        <w:spacing w:line="360" w:lineRule="auto"/>
        <w:ind w:firstLine="480" w:firstLineChars="200"/>
        <w:outlineLvl w:val="0"/>
        <w:rPr>
          <w:rFonts w:hint="eastAsia" w:ascii="宋体" w:hAnsi="宋体" w:cs="宋体"/>
          <w:color w:val="auto"/>
          <w:sz w:val="24"/>
          <w:highlight w:val="none"/>
        </w:rPr>
      </w:pPr>
      <w:bookmarkStart w:id="435" w:name="_Toc38747306"/>
      <w:r>
        <w:rPr>
          <w:rFonts w:hint="eastAsia" w:ascii="宋体" w:hAnsi="宋体" w:cs="宋体"/>
          <w:color w:val="auto"/>
          <w:sz w:val="24"/>
          <w:highlight w:val="none"/>
        </w:rPr>
        <w:t>需要承包人报送样品的材料或工程设备，样品的种类、名称、规格、数量要求：</w:t>
      </w:r>
      <w:r>
        <w:rPr>
          <w:rFonts w:hint="eastAsia" w:ascii="宋体" w:hAnsi="宋体" w:cs="宋体"/>
          <w:color w:val="auto"/>
          <w:sz w:val="24"/>
          <w:highlight w:val="none"/>
          <w:u w:val="single"/>
        </w:rPr>
        <w:t>执行通用条款</w:t>
      </w:r>
      <w:r>
        <w:rPr>
          <w:rFonts w:hint="eastAsia" w:ascii="宋体" w:hAnsi="宋体" w:cs="宋体"/>
          <w:color w:val="auto"/>
          <w:sz w:val="24"/>
          <w:highlight w:val="none"/>
        </w:rPr>
        <w:t>。</w:t>
      </w:r>
      <w:bookmarkEnd w:id="435"/>
    </w:p>
    <w:p w14:paraId="4F31871B">
      <w:pPr>
        <w:adjustRightInd w:val="0"/>
        <w:snapToGrid w:val="0"/>
        <w:spacing w:line="360" w:lineRule="auto"/>
        <w:ind w:firstLine="480" w:firstLineChars="200"/>
        <w:outlineLvl w:val="0"/>
        <w:rPr>
          <w:rFonts w:hint="eastAsia" w:ascii="宋体" w:hAnsi="宋体" w:cs="宋体"/>
          <w:color w:val="auto"/>
          <w:sz w:val="24"/>
          <w:highlight w:val="none"/>
        </w:rPr>
      </w:pPr>
      <w:bookmarkStart w:id="436" w:name="_Toc38747307"/>
      <w:r>
        <w:rPr>
          <w:rFonts w:hint="eastAsia" w:ascii="宋体" w:hAnsi="宋体" w:cs="宋体"/>
          <w:color w:val="auto"/>
          <w:sz w:val="24"/>
          <w:highlight w:val="none"/>
        </w:rPr>
        <w:t>8.8施工设备和临时设施</w:t>
      </w:r>
      <w:bookmarkEnd w:id="436"/>
    </w:p>
    <w:p w14:paraId="00666898">
      <w:pPr>
        <w:adjustRightInd w:val="0"/>
        <w:snapToGrid w:val="0"/>
        <w:spacing w:line="360" w:lineRule="auto"/>
        <w:ind w:firstLine="480" w:firstLineChars="200"/>
        <w:outlineLvl w:val="0"/>
        <w:rPr>
          <w:rFonts w:hint="eastAsia" w:ascii="宋体" w:hAnsi="宋体" w:cs="宋体"/>
          <w:color w:val="auto"/>
          <w:sz w:val="24"/>
          <w:highlight w:val="none"/>
        </w:rPr>
      </w:pPr>
      <w:bookmarkStart w:id="437" w:name="_Toc38747308"/>
      <w:r>
        <w:rPr>
          <w:rFonts w:hint="eastAsia" w:ascii="宋体" w:hAnsi="宋体" w:cs="宋体"/>
          <w:color w:val="auto"/>
          <w:sz w:val="24"/>
          <w:highlight w:val="none"/>
        </w:rPr>
        <w:t>8.8.1承包人提供的施工设备和临时设施</w:t>
      </w:r>
      <w:bookmarkEnd w:id="437"/>
    </w:p>
    <w:p w14:paraId="07765849">
      <w:pPr>
        <w:adjustRightInd w:val="0"/>
        <w:snapToGrid w:val="0"/>
        <w:spacing w:line="360" w:lineRule="auto"/>
        <w:ind w:firstLine="480" w:firstLineChars="200"/>
        <w:outlineLvl w:val="0"/>
        <w:rPr>
          <w:rFonts w:hint="eastAsia" w:ascii="宋体" w:hAnsi="宋体" w:cs="宋体"/>
          <w:color w:val="auto"/>
          <w:sz w:val="24"/>
          <w:highlight w:val="none"/>
          <w:u w:val="single"/>
        </w:rPr>
      </w:pPr>
      <w:bookmarkStart w:id="438" w:name="_Toc38747309"/>
      <w:r>
        <w:rPr>
          <w:rFonts w:hint="eastAsia" w:ascii="宋体" w:hAnsi="宋体" w:cs="宋体"/>
          <w:color w:val="auto"/>
          <w:sz w:val="24"/>
          <w:highlight w:val="none"/>
        </w:rPr>
        <w:t>关于修建临时设施费用承担的约定：</w:t>
      </w:r>
      <w:r>
        <w:rPr>
          <w:rFonts w:hint="eastAsia" w:ascii="宋体" w:hAnsi="宋体" w:cs="宋体"/>
          <w:color w:val="auto"/>
          <w:sz w:val="24"/>
          <w:highlight w:val="none"/>
          <w:u w:val="single"/>
        </w:rPr>
        <w:t xml:space="preserve">由承包人承担   </w:t>
      </w:r>
      <w:r>
        <w:rPr>
          <w:rFonts w:hint="eastAsia" w:ascii="宋体" w:hAnsi="宋体" w:cs="宋体"/>
          <w:color w:val="auto"/>
          <w:sz w:val="24"/>
          <w:highlight w:val="none"/>
        </w:rPr>
        <w:t>。</w:t>
      </w:r>
      <w:bookmarkEnd w:id="438"/>
    </w:p>
    <w:p w14:paraId="7F75F5CD">
      <w:pPr>
        <w:adjustRightInd w:val="0"/>
        <w:snapToGrid w:val="0"/>
        <w:spacing w:line="360" w:lineRule="auto"/>
        <w:ind w:firstLine="482" w:firstLineChars="200"/>
        <w:outlineLvl w:val="0"/>
        <w:rPr>
          <w:rFonts w:hint="eastAsia" w:ascii="宋体" w:hAnsi="宋体" w:cs="宋体"/>
          <w:b/>
          <w:color w:val="auto"/>
          <w:sz w:val="24"/>
          <w:highlight w:val="none"/>
          <w:lang w:val="zh-CN"/>
        </w:rPr>
      </w:pPr>
      <w:bookmarkStart w:id="439" w:name="_Toc38747310"/>
      <w:r>
        <w:rPr>
          <w:rFonts w:hint="eastAsia" w:ascii="宋体" w:hAnsi="宋体" w:cs="宋体"/>
          <w:b/>
          <w:color w:val="auto"/>
          <w:sz w:val="24"/>
          <w:highlight w:val="none"/>
          <w:lang w:val="zh-CN"/>
        </w:rPr>
        <w:t>9.试验与检验</w:t>
      </w:r>
      <w:bookmarkEnd w:id="439"/>
    </w:p>
    <w:p w14:paraId="651363B4">
      <w:pPr>
        <w:adjustRightInd w:val="0"/>
        <w:snapToGrid w:val="0"/>
        <w:spacing w:line="360" w:lineRule="auto"/>
        <w:ind w:firstLine="480" w:firstLineChars="200"/>
        <w:outlineLvl w:val="0"/>
        <w:rPr>
          <w:rFonts w:hint="eastAsia" w:ascii="宋体" w:hAnsi="宋体" w:cs="宋体"/>
          <w:color w:val="auto"/>
          <w:sz w:val="24"/>
          <w:highlight w:val="none"/>
        </w:rPr>
      </w:pPr>
      <w:bookmarkStart w:id="440" w:name="_Toc38747311"/>
      <w:r>
        <w:rPr>
          <w:rFonts w:hint="eastAsia" w:ascii="宋体" w:hAnsi="宋体" w:cs="宋体"/>
          <w:color w:val="auto"/>
          <w:sz w:val="24"/>
          <w:highlight w:val="none"/>
        </w:rPr>
        <w:t>9</w:t>
      </w:r>
      <w:bookmarkStart w:id="441" w:name="_Toc297216193"/>
      <w:bookmarkStart w:id="442" w:name="_Toc312678022"/>
      <w:bookmarkStart w:id="443" w:name="_Toc297123534"/>
      <w:bookmarkStart w:id="444" w:name="_Toc300934983"/>
      <w:bookmarkStart w:id="445" w:name="_Toc303539140"/>
      <w:bookmarkStart w:id="446" w:name="_Toc312677496"/>
      <w:bookmarkStart w:id="447" w:name="_Toc304295560"/>
      <w:r>
        <w:rPr>
          <w:rFonts w:hint="eastAsia" w:ascii="宋体" w:hAnsi="宋体" w:cs="宋体"/>
          <w:color w:val="auto"/>
          <w:sz w:val="24"/>
          <w:highlight w:val="none"/>
        </w:rPr>
        <w:t>.1试验设备与试验人员</w:t>
      </w:r>
      <w:bookmarkEnd w:id="440"/>
    </w:p>
    <w:bookmarkEnd w:id="441"/>
    <w:bookmarkEnd w:id="442"/>
    <w:bookmarkEnd w:id="443"/>
    <w:bookmarkEnd w:id="444"/>
    <w:bookmarkEnd w:id="445"/>
    <w:bookmarkEnd w:id="446"/>
    <w:bookmarkEnd w:id="447"/>
    <w:p w14:paraId="74976A61">
      <w:pPr>
        <w:adjustRightInd w:val="0"/>
        <w:snapToGrid w:val="0"/>
        <w:spacing w:line="360" w:lineRule="auto"/>
        <w:ind w:firstLine="480" w:firstLineChars="200"/>
        <w:outlineLvl w:val="0"/>
        <w:rPr>
          <w:rFonts w:hint="eastAsia" w:ascii="宋体" w:hAnsi="宋体" w:cs="宋体"/>
          <w:color w:val="auto"/>
          <w:sz w:val="24"/>
          <w:highlight w:val="none"/>
        </w:rPr>
      </w:pPr>
      <w:bookmarkStart w:id="448" w:name="_Toc38747312"/>
      <w:r>
        <w:rPr>
          <w:rFonts w:hint="eastAsia" w:ascii="宋体" w:hAnsi="宋体" w:cs="宋体"/>
          <w:color w:val="auto"/>
          <w:sz w:val="24"/>
          <w:highlight w:val="none"/>
        </w:rPr>
        <w:t>9</w:t>
      </w:r>
      <w:bookmarkStart w:id="449" w:name="_Toc300934984"/>
      <w:bookmarkStart w:id="450" w:name="_Toc297216194"/>
      <w:bookmarkStart w:id="451" w:name="_Toc304295561"/>
      <w:bookmarkStart w:id="452" w:name="_Toc303539141"/>
      <w:bookmarkStart w:id="453" w:name="_Toc297123535"/>
      <w:bookmarkStart w:id="454" w:name="_Toc312677497"/>
      <w:bookmarkStart w:id="455" w:name="_Toc312678023"/>
      <w:r>
        <w:rPr>
          <w:rFonts w:hint="eastAsia" w:ascii="宋体" w:hAnsi="宋体" w:cs="宋体"/>
          <w:color w:val="auto"/>
          <w:sz w:val="24"/>
          <w:highlight w:val="none"/>
        </w:rPr>
        <w:t>.1.2 试验设备</w:t>
      </w:r>
      <w:bookmarkEnd w:id="448"/>
    </w:p>
    <w:p w14:paraId="68461AB7">
      <w:pPr>
        <w:adjustRightInd w:val="0"/>
        <w:snapToGrid w:val="0"/>
        <w:spacing w:line="360" w:lineRule="auto"/>
        <w:ind w:firstLine="480" w:firstLineChars="200"/>
        <w:outlineLvl w:val="0"/>
        <w:rPr>
          <w:rFonts w:hint="eastAsia" w:ascii="宋体" w:hAnsi="宋体" w:cs="宋体"/>
          <w:color w:val="auto"/>
          <w:sz w:val="24"/>
          <w:highlight w:val="none"/>
        </w:rPr>
      </w:pPr>
      <w:bookmarkStart w:id="456" w:name="_Toc38747313"/>
      <w:r>
        <w:rPr>
          <w:rFonts w:hint="eastAsia" w:ascii="宋体" w:hAnsi="宋体" w:cs="宋体"/>
          <w:color w:val="auto"/>
          <w:sz w:val="24"/>
          <w:highlight w:val="none"/>
        </w:rPr>
        <w:t>施工现场需要配置的试验场所：</w:t>
      </w:r>
      <w:bookmarkEnd w:id="449"/>
      <w:bookmarkEnd w:id="450"/>
      <w:bookmarkEnd w:id="451"/>
      <w:bookmarkEnd w:id="452"/>
      <w:bookmarkEnd w:id="453"/>
      <w:bookmarkEnd w:id="454"/>
      <w:bookmarkEnd w:id="455"/>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456"/>
      <w:r>
        <w:rPr>
          <w:rFonts w:hint="eastAsia" w:ascii="宋体" w:hAnsi="宋体" w:cs="宋体"/>
          <w:color w:val="auto"/>
          <w:sz w:val="24"/>
          <w:highlight w:val="none"/>
        </w:rPr>
        <w:t xml:space="preserve"> </w:t>
      </w:r>
    </w:p>
    <w:p w14:paraId="69DCC870">
      <w:pPr>
        <w:adjustRightInd w:val="0"/>
        <w:snapToGrid w:val="0"/>
        <w:spacing w:line="360" w:lineRule="auto"/>
        <w:ind w:firstLine="480" w:firstLineChars="200"/>
        <w:outlineLvl w:val="0"/>
        <w:rPr>
          <w:rFonts w:hint="eastAsia" w:ascii="宋体" w:hAnsi="宋体" w:cs="宋体"/>
          <w:color w:val="auto"/>
          <w:sz w:val="24"/>
          <w:highlight w:val="none"/>
        </w:rPr>
      </w:pPr>
      <w:bookmarkStart w:id="457" w:name="_Toc38747314"/>
      <w:r>
        <w:rPr>
          <w:rFonts w:hint="eastAsia" w:ascii="宋体" w:hAnsi="宋体" w:cs="宋体"/>
          <w:color w:val="auto"/>
          <w:sz w:val="24"/>
          <w:highlight w:val="none"/>
        </w:rPr>
        <w:t>施工现场需要配备的试验设备：</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457"/>
    </w:p>
    <w:p w14:paraId="3304F364">
      <w:pPr>
        <w:adjustRightInd w:val="0"/>
        <w:snapToGrid w:val="0"/>
        <w:spacing w:line="360" w:lineRule="auto"/>
        <w:ind w:firstLine="480" w:firstLineChars="200"/>
        <w:outlineLvl w:val="0"/>
        <w:rPr>
          <w:rFonts w:hint="eastAsia" w:ascii="宋体" w:hAnsi="宋体" w:cs="宋体"/>
          <w:color w:val="auto"/>
          <w:sz w:val="24"/>
          <w:highlight w:val="none"/>
        </w:rPr>
      </w:pPr>
      <w:bookmarkStart w:id="458" w:name="_Toc38747315"/>
      <w:r>
        <w:rPr>
          <w:rFonts w:hint="eastAsia" w:ascii="宋体" w:hAnsi="宋体" w:cs="宋体"/>
          <w:color w:val="auto"/>
          <w:sz w:val="24"/>
          <w:highlight w:val="none"/>
        </w:rPr>
        <w:t>施工现场需要具备的其他试验条件：</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458"/>
    </w:p>
    <w:p w14:paraId="60CBB6DD">
      <w:pPr>
        <w:adjustRightInd w:val="0"/>
        <w:snapToGrid w:val="0"/>
        <w:spacing w:line="360" w:lineRule="auto"/>
        <w:ind w:firstLine="480" w:firstLineChars="200"/>
        <w:outlineLvl w:val="0"/>
        <w:rPr>
          <w:rFonts w:hint="eastAsia" w:ascii="宋体" w:hAnsi="宋体" w:cs="宋体"/>
          <w:color w:val="auto"/>
          <w:sz w:val="24"/>
          <w:highlight w:val="none"/>
        </w:rPr>
      </w:pPr>
      <w:bookmarkStart w:id="459" w:name="_Toc38747316"/>
      <w:r>
        <w:rPr>
          <w:rFonts w:hint="eastAsia" w:ascii="宋体" w:hAnsi="宋体" w:cs="宋体"/>
          <w:color w:val="auto"/>
          <w:sz w:val="24"/>
          <w:highlight w:val="none"/>
        </w:rPr>
        <w:t>9.4 现场工艺试验</w:t>
      </w:r>
      <w:bookmarkEnd w:id="459"/>
      <w:r>
        <w:rPr>
          <w:rFonts w:hint="eastAsia" w:ascii="宋体" w:hAnsi="宋体" w:cs="宋体"/>
          <w:color w:val="auto"/>
          <w:sz w:val="24"/>
          <w:highlight w:val="none"/>
        </w:rPr>
        <w:t xml:space="preserve"> </w:t>
      </w:r>
    </w:p>
    <w:p w14:paraId="773704F1">
      <w:pPr>
        <w:adjustRightInd w:val="0"/>
        <w:snapToGrid w:val="0"/>
        <w:spacing w:line="360" w:lineRule="auto"/>
        <w:ind w:firstLine="480" w:firstLineChars="200"/>
        <w:outlineLvl w:val="0"/>
        <w:rPr>
          <w:rFonts w:hint="eastAsia" w:ascii="宋体" w:hAnsi="宋体" w:cs="宋体"/>
          <w:color w:val="auto"/>
          <w:sz w:val="24"/>
          <w:highlight w:val="none"/>
          <w:u w:val="single"/>
        </w:rPr>
      </w:pPr>
      <w:bookmarkStart w:id="460" w:name="_Toc38747317"/>
      <w:r>
        <w:rPr>
          <w:rFonts w:hint="eastAsia" w:ascii="宋体" w:hAnsi="宋体" w:cs="宋体"/>
          <w:color w:val="auto"/>
          <w:sz w:val="24"/>
          <w:highlight w:val="none"/>
        </w:rPr>
        <w:t>现场工艺试验的有关约定：</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460"/>
    </w:p>
    <w:p w14:paraId="77B63880">
      <w:pPr>
        <w:adjustRightInd w:val="0"/>
        <w:snapToGrid w:val="0"/>
        <w:spacing w:line="360" w:lineRule="auto"/>
        <w:ind w:firstLine="482" w:firstLineChars="200"/>
        <w:outlineLvl w:val="0"/>
        <w:rPr>
          <w:rFonts w:hint="eastAsia" w:ascii="宋体" w:hAnsi="宋体" w:cs="宋体"/>
          <w:b/>
          <w:color w:val="auto"/>
          <w:sz w:val="24"/>
          <w:highlight w:val="none"/>
          <w:lang w:val="zh-CN"/>
        </w:rPr>
      </w:pPr>
      <w:bookmarkStart w:id="461" w:name="_Toc38747318"/>
      <w:r>
        <w:rPr>
          <w:rFonts w:hint="eastAsia" w:ascii="宋体" w:hAnsi="宋体" w:cs="宋体"/>
          <w:b/>
          <w:color w:val="auto"/>
          <w:sz w:val="24"/>
          <w:highlight w:val="none"/>
          <w:lang w:val="zh-CN"/>
        </w:rPr>
        <w:t>10.变更</w:t>
      </w:r>
      <w:bookmarkEnd w:id="461"/>
    </w:p>
    <w:p w14:paraId="74939F3B">
      <w:pPr>
        <w:adjustRightInd w:val="0"/>
        <w:snapToGrid w:val="0"/>
        <w:spacing w:line="360" w:lineRule="auto"/>
        <w:ind w:firstLine="480" w:firstLineChars="200"/>
        <w:outlineLvl w:val="0"/>
        <w:rPr>
          <w:rFonts w:hint="eastAsia" w:ascii="宋体" w:hAnsi="宋体" w:cs="宋体"/>
          <w:color w:val="auto"/>
          <w:sz w:val="24"/>
          <w:highlight w:val="none"/>
        </w:rPr>
      </w:pPr>
      <w:bookmarkStart w:id="462" w:name="_Toc38747342"/>
      <w:r>
        <w:rPr>
          <w:rFonts w:hint="eastAsia" w:ascii="宋体" w:hAnsi="宋体" w:cs="宋体"/>
          <w:color w:val="auto"/>
          <w:sz w:val="24"/>
          <w:highlight w:val="none"/>
        </w:rPr>
        <w:t>10.1变更的范围</w:t>
      </w:r>
    </w:p>
    <w:p w14:paraId="6E11B661">
      <w:pPr>
        <w:adjustRightInd w:val="0"/>
        <w:snapToGrid w:val="0"/>
        <w:spacing w:line="360" w:lineRule="auto"/>
        <w:ind w:firstLine="480" w:firstLineChars="200"/>
        <w:outlineLvl w:val="0"/>
        <w:rPr>
          <w:rFonts w:hint="eastAsia" w:ascii="宋体" w:hAnsi="宋体" w:cs="宋体"/>
          <w:b/>
          <w:color w:val="auto"/>
          <w:sz w:val="24"/>
          <w:highlight w:val="none"/>
          <w:lang w:val="zh-CN"/>
        </w:rPr>
      </w:pPr>
      <w:r>
        <w:rPr>
          <w:rFonts w:hint="eastAsia" w:ascii="宋体" w:hAnsi="宋体" w:cs="宋体"/>
          <w:color w:val="auto"/>
          <w:sz w:val="24"/>
          <w:highlight w:val="none"/>
        </w:rPr>
        <w:t>关于变更的范围的约定：</w:t>
      </w:r>
      <w:r>
        <w:rPr>
          <w:rFonts w:hint="eastAsia" w:ascii="宋体" w:hAnsi="宋体" w:cs="宋体"/>
          <w:color w:val="auto"/>
          <w:sz w:val="24"/>
          <w:highlight w:val="none"/>
          <w:u w:val="single"/>
        </w:rPr>
        <w:t>（1）在工程实施过程中，发包人发出的设计变更、签证，增减或调整工作内容及施工进度、变更材料、材质的指令等，是合同的一部分，承包人须无条件按发包人的要求实施并承担合同义务，否则视作违约。（2）计量方法按约定，发生变更、施工条件变化等，要由监理工程师、发包人、跟踪审计同时确认方为有效；由于设计变更、现场签证等引起的新的工程量清单项目或清单项目工程数量的增减，其工作量由承包人提出，经发包人及跟踪审计确认后，作为竣工结算依据。工程量签证必须在签证项目完工后30日内签证完毕，否则发包人有权不予认可。</w:t>
      </w:r>
    </w:p>
    <w:p w14:paraId="63FE22F0">
      <w:pPr>
        <w:adjustRightInd w:val="0"/>
        <w:snapToGrid w:val="0"/>
        <w:spacing w:line="360" w:lineRule="auto"/>
        <w:ind w:firstLine="480" w:firstLineChars="200"/>
        <w:outlineLvl w:val="0"/>
        <w:rPr>
          <w:rFonts w:hint="eastAsia" w:ascii="宋体" w:hAnsi="宋体" w:cs="宋体"/>
          <w:color w:val="auto"/>
          <w:sz w:val="24"/>
          <w:highlight w:val="none"/>
        </w:rPr>
      </w:pPr>
      <w:bookmarkStart w:id="463" w:name="_Toc38747320"/>
      <w:bookmarkStart w:id="464" w:name="_Toc296944533"/>
      <w:bookmarkStart w:id="465" w:name="_Toc297120494"/>
      <w:bookmarkStart w:id="466" w:name="_Toc297048380"/>
      <w:bookmarkStart w:id="467" w:name="_Toc303539147"/>
      <w:bookmarkStart w:id="468" w:name="_Toc296891234"/>
      <w:bookmarkStart w:id="469" w:name="_Toc297216200"/>
      <w:bookmarkStart w:id="470" w:name="_Toc296347193"/>
      <w:bookmarkStart w:id="471" w:name="_Toc312678026"/>
      <w:bookmarkStart w:id="472" w:name="_Toc296503194"/>
      <w:bookmarkStart w:id="473" w:name="_Toc296346695"/>
      <w:bookmarkStart w:id="474" w:name="_Toc296891022"/>
      <w:bookmarkStart w:id="475" w:name="_Toc304295567"/>
      <w:bookmarkStart w:id="476" w:name="_Toc300934990"/>
      <w:bookmarkStart w:id="477" w:name="_Toc297123541"/>
      <w:bookmarkStart w:id="478" w:name="_Toc292559399"/>
      <w:bookmarkStart w:id="479" w:name="_Toc292559904"/>
      <w:bookmarkStart w:id="480" w:name="_Toc312677500"/>
      <w:r>
        <w:rPr>
          <w:rFonts w:hint="eastAsia" w:ascii="宋体" w:hAnsi="宋体" w:cs="宋体"/>
          <w:color w:val="auto"/>
          <w:sz w:val="24"/>
          <w:highlight w:val="none"/>
        </w:rPr>
        <w:t>关于变更的方法的约定：</w:t>
      </w:r>
      <w:bookmarkEnd w:id="463"/>
      <w:r>
        <w:rPr>
          <w:rFonts w:ascii="宋体" w:hAnsi="宋体" w:cs="宋体"/>
          <w:color w:val="auto"/>
          <w:sz w:val="24"/>
          <w:highlight w:val="none"/>
        </w:rPr>
        <w:t>涉及到施工方案变更的，由街道建设部门牵头，相关部门参加讨论确认，涉及到重大方案变更的经专题讨论后以会议纪要形式确认，经确认后履行《工程联系单》、《工程签证单》等变更手续。每个签证单应与《工程联系单》相匹配。</w:t>
      </w:r>
    </w:p>
    <w:p w14:paraId="1E9D8850">
      <w:pPr>
        <w:adjustRightInd w:val="0"/>
        <w:snapToGrid w:val="0"/>
        <w:spacing w:line="360" w:lineRule="auto"/>
        <w:ind w:firstLine="480" w:firstLineChars="200"/>
        <w:outlineLvl w:val="0"/>
        <w:rPr>
          <w:rFonts w:hint="eastAsia" w:ascii="宋体" w:hAnsi="宋体" w:cs="宋体"/>
          <w:color w:val="auto"/>
          <w:sz w:val="24"/>
          <w:highlight w:val="none"/>
        </w:rPr>
      </w:pPr>
      <w:bookmarkStart w:id="481" w:name="_Toc38747323"/>
      <w:r>
        <w:rPr>
          <w:rFonts w:hint="eastAsia" w:ascii="宋体" w:hAnsi="宋体" w:cs="宋体"/>
          <w:color w:val="auto"/>
          <w:sz w:val="24"/>
          <w:highlight w:val="none"/>
        </w:rPr>
        <w:t>10.4 变更估价</w:t>
      </w:r>
    </w:p>
    <w:bookmarkEnd w:id="481"/>
    <w:p w14:paraId="56CB0D40">
      <w:pPr>
        <w:adjustRightInd w:val="0"/>
        <w:snapToGrid w:val="0"/>
        <w:spacing w:line="360" w:lineRule="auto"/>
        <w:ind w:firstLine="480" w:firstLineChars="200"/>
        <w:outlineLvl w:val="0"/>
        <w:rPr>
          <w:rFonts w:hint="eastAsia" w:ascii="宋体" w:hAnsi="宋体" w:cs="宋体"/>
          <w:color w:val="auto"/>
          <w:sz w:val="24"/>
          <w:highlight w:val="none"/>
        </w:rPr>
      </w:pPr>
      <w:bookmarkStart w:id="482" w:name="_Toc38747325"/>
      <w:r>
        <w:rPr>
          <w:rFonts w:hint="eastAsia" w:ascii="宋体" w:hAnsi="宋体" w:cs="宋体"/>
          <w:color w:val="auto"/>
          <w:sz w:val="24"/>
          <w:highlight w:val="none"/>
        </w:rPr>
        <w:t>变更签证发包人的权限：若发包人有设计变更，以书面形式通知承包人并由承包人负责编制预算，由跟踪审计审核。单个变更项的预估增加金额在10万元以下的，经项目申请部门申请并报分管领导同意，由实施部门负责人、街道分管领导共同确认后予以实施，单个变更项的预估增加金额在10万元≦投资额&lt;30万元内的，经项目申请部门申请并报分管领导及主要领导同意确认后予以实施，单个变更项的预估增加金额≧30万元的，必须经街道党工委扩大会议确认后予以实施。如承包人未经以上同意私自实施或未在规定时间内上报《工程联系单》，则变更工作量将不予认可。</w:t>
      </w:r>
    </w:p>
    <w:p w14:paraId="4E4993D0">
      <w:pPr>
        <w:adjustRightInd w:val="0"/>
        <w:snapToGrid w:val="0"/>
        <w:spacing w:line="360" w:lineRule="auto"/>
        <w:ind w:firstLine="480" w:firstLineChars="200"/>
        <w:outlineLvl w:val="0"/>
        <w:rPr>
          <w:rFonts w:hint="eastAsia" w:ascii="宋体" w:hAnsi="宋体" w:eastAsia="宋体" w:cs="宋体"/>
          <w:color w:val="auto"/>
          <w:sz w:val="24"/>
          <w:szCs w:val="24"/>
          <w:highlight w:val="none"/>
        </w:rPr>
      </w:pPr>
      <w:bookmarkStart w:id="483" w:name="_Toc38747324"/>
      <w:r>
        <w:rPr>
          <w:rFonts w:hint="eastAsia" w:ascii="宋体" w:hAnsi="宋体" w:cs="宋体"/>
          <w:color w:val="auto"/>
          <w:sz w:val="24"/>
          <w:highlight w:val="none"/>
        </w:rPr>
        <w:t>所有隐蔽工程均须报监理、发包人、跟踪审计现场验收，并提供现场签证，签证单上必须注明签证的原因、位置、数量、尺寸和签证时间等要素并附上相关有效影像资料。签证不全或标注说明含糊不清的不得作为结算依据。变更估价原则：签证必须在签证项目发生后30日内签证完毕，否则发包人有权不予认可。</w:t>
      </w:r>
      <w:bookmarkEnd w:id="483"/>
      <w:r>
        <w:rPr>
          <w:rFonts w:hint="eastAsia" w:ascii="宋体" w:hAnsi="宋体" w:eastAsia="宋体" w:cs="宋体"/>
          <w:color w:val="auto"/>
          <w:sz w:val="24"/>
          <w:szCs w:val="24"/>
          <w:highlight w:val="none"/>
        </w:rPr>
        <w:t xml:space="preserve">  </w:t>
      </w:r>
    </w:p>
    <w:p w14:paraId="3CA1B0F2">
      <w:pPr>
        <w:adjustRightInd w:val="0"/>
        <w:snapToGrid w:val="0"/>
        <w:spacing w:line="360" w:lineRule="auto"/>
        <w:ind w:firstLine="480" w:firstLineChars="200"/>
        <w:outlineLvl w:val="0"/>
        <w:rPr>
          <w:rFonts w:hint="eastAsia" w:ascii="宋体" w:hAnsi="宋体" w:cs="宋体"/>
          <w:color w:val="auto"/>
          <w:sz w:val="24"/>
          <w:highlight w:val="none"/>
        </w:rPr>
      </w:pPr>
      <w:r>
        <w:rPr>
          <w:rFonts w:hint="eastAsia" w:ascii="宋体" w:hAnsi="宋体" w:cs="宋体"/>
          <w:color w:val="auto"/>
          <w:sz w:val="24"/>
          <w:highlight w:val="none"/>
        </w:rPr>
        <w:t>10.4.1 变更估价原则</w:t>
      </w:r>
      <w:bookmarkEnd w:id="482"/>
    </w:p>
    <w:p w14:paraId="1A0D2789">
      <w:pPr>
        <w:adjustRightInd w:val="0"/>
        <w:snapToGrid w:val="0"/>
        <w:spacing w:line="360" w:lineRule="auto"/>
        <w:ind w:firstLine="480" w:firstLineChars="200"/>
        <w:outlineLvl w:val="0"/>
        <w:rPr>
          <w:rFonts w:hint="eastAsia" w:ascii="宋体" w:hAnsi="宋体" w:cs="宋体"/>
          <w:color w:val="auto"/>
          <w:sz w:val="24"/>
          <w:highlight w:val="none"/>
          <w:u w:val="single"/>
        </w:rPr>
      </w:pPr>
      <w:bookmarkStart w:id="484" w:name="_Toc38747326"/>
      <w:r>
        <w:rPr>
          <w:rFonts w:hint="eastAsia" w:ascii="宋体" w:hAnsi="宋体" w:cs="宋体"/>
          <w:color w:val="auto"/>
          <w:sz w:val="24"/>
          <w:highlight w:val="none"/>
          <w:u w:val="single"/>
        </w:rPr>
        <w:t>签证必须在签证项目发生后30日内签证完毕，否则发包人有权不予认可。</w:t>
      </w:r>
      <w:bookmarkEnd w:id="484"/>
    </w:p>
    <w:p w14:paraId="5688A1FB">
      <w:pPr>
        <w:adjustRightInd w:val="0"/>
        <w:snapToGrid w:val="0"/>
        <w:spacing w:line="360" w:lineRule="auto"/>
        <w:ind w:firstLine="480" w:firstLineChars="200"/>
        <w:outlineLvl w:val="0"/>
        <w:rPr>
          <w:rFonts w:hint="eastAsia" w:ascii="宋体" w:hAnsi="宋体" w:cs="宋体"/>
          <w:color w:val="auto"/>
          <w:sz w:val="24"/>
          <w:highlight w:val="none"/>
        </w:rPr>
      </w:pPr>
      <w:bookmarkStart w:id="485" w:name="_Toc38747327"/>
      <w:r>
        <w:rPr>
          <w:rFonts w:hint="eastAsia" w:ascii="宋体" w:hAnsi="宋体" w:cs="宋体"/>
          <w:color w:val="auto"/>
          <w:sz w:val="24"/>
          <w:highlight w:val="none"/>
        </w:rPr>
        <w:t xml:space="preserve">关于变更估价的约定: </w:t>
      </w:r>
      <w:r>
        <w:rPr>
          <w:rFonts w:hint="eastAsia" w:ascii="宋体" w:hAnsi="宋体" w:cs="宋体"/>
          <w:color w:val="auto"/>
          <w:sz w:val="24"/>
          <w:highlight w:val="none"/>
          <w:u w:val="single"/>
        </w:rPr>
        <w:t xml:space="preserve">  按本合同专业合同条款第12条  </w:t>
      </w:r>
      <w:r>
        <w:rPr>
          <w:rFonts w:hint="eastAsia" w:ascii="宋体" w:hAnsi="宋体" w:cs="宋体"/>
          <w:color w:val="auto"/>
          <w:sz w:val="24"/>
          <w:highlight w:val="none"/>
        </w:rPr>
        <w:t>。</w:t>
      </w:r>
      <w:bookmarkEnd w:id="485"/>
    </w:p>
    <w:p w14:paraId="7CF45341">
      <w:pPr>
        <w:adjustRightInd w:val="0"/>
        <w:snapToGrid w:val="0"/>
        <w:spacing w:line="360" w:lineRule="auto"/>
        <w:ind w:firstLine="480" w:firstLineChars="200"/>
        <w:outlineLvl w:val="0"/>
        <w:rPr>
          <w:rFonts w:hint="eastAsia" w:ascii="宋体" w:hAnsi="宋体" w:cs="宋体"/>
          <w:color w:val="auto"/>
          <w:sz w:val="24"/>
          <w:highlight w:val="none"/>
        </w:rPr>
      </w:pPr>
      <w:bookmarkStart w:id="486" w:name="_Toc38747328"/>
      <w:r>
        <w:rPr>
          <w:rFonts w:hint="eastAsia" w:ascii="宋体" w:hAnsi="宋体" w:cs="宋体"/>
          <w:color w:val="auto"/>
          <w:sz w:val="24"/>
          <w:highlight w:val="none"/>
        </w:rPr>
        <w:t>1</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Start w:id="487" w:name="_Toc297120497"/>
      <w:bookmarkStart w:id="488" w:name="_Toc296347196"/>
      <w:bookmarkStart w:id="489" w:name="_Toc292559402"/>
      <w:bookmarkStart w:id="490" w:name="_Toc303539150"/>
      <w:bookmarkStart w:id="491" w:name="_Toc297216203"/>
      <w:bookmarkStart w:id="492" w:name="_Toc296891025"/>
      <w:bookmarkStart w:id="493" w:name="_Toc297048383"/>
      <w:bookmarkStart w:id="494" w:name="_Toc297123544"/>
      <w:bookmarkStart w:id="495" w:name="_Toc300934993"/>
      <w:bookmarkStart w:id="496" w:name="_Toc296503197"/>
      <w:bookmarkStart w:id="497" w:name="_Toc292559907"/>
      <w:bookmarkStart w:id="498" w:name="_Toc296891237"/>
      <w:bookmarkStart w:id="499" w:name="_Toc296346698"/>
      <w:bookmarkStart w:id="500" w:name="_Toc296944536"/>
      <w:bookmarkStart w:id="501" w:name="_Toc304295570"/>
      <w:bookmarkStart w:id="502" w:name="_Toc312677503"/>
      <w:bookmarkStart w:id="503" w:name="_Toc312678029"/>
      <w:r>
        <w:rPr>
          <w:rFonts w:hint="eastAsia" w:ascii="宋体" w:hAnsi="宋体" w:cs="宋体"/>
          <w:color w:val="auto"/>
          <w:sz w:val="24"/>
          <w:highlight w:val="none"/>
        </w:rPr>
        <w:t>0.6承</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Start w:id="504" w:name="_Toc297216204"/>
      <w:bookmarkStart w:id="505" w:name="_Toc296347202"/>
      <w:bookmarkStart w:id="506" w:name="_Toc297123545"/>
      <w:bookmarkStart w:id="507" w:name="_Toc296944542"/>
      <w:bookmarkStart w:id="508" w:name="_Toc300934994"/>
      <w:bookmarkStart w:id="509" w:name="_Toc303539151"/>
      <w:bookmarkStart w:id="510" w:name="_Toc296346704"/>
      <w:bookmarkStart w:id="511" w:name="_Toc296503203"/>
      <w:bookmarkStart w:id="512" w:name="_Toc296891243"/>
      <w:bookmarkStart w:id="513" w:name="_Toc296891031"/>
      <w:bookmarkStart w:id="514" w:name="_Toc297120503"/>
      <w:bookmarkStart w:id="515" w:name="_Toc292559913"/>
      <w:bookmarkStart w:id="516" w:name="_Toc297048389"/>
      <w:bookmarkStart w:id="517" w:name="_Toc292559408"/>
      <w:r>
        <w:rPr>
          <w:rFonts w:hint="eastAsia" w:ascii="宋体" w:hAnsi="宋体" w:cs="宋体"/>
          <w:color w:val="auto"/>
          <w:sz w:val="24"/>
          <w:highlight w:val="none"/>
        </w:rPr>
        <w:t>包人的合理化建议</w:t>
      </w:r>
      <w:bookmarkEnd w:id="486"/>
    </w:p>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14:paraId="07996B3B">
      <w:pPr>
        <w:adjustRightInd w:val="0"/>
        <w:snapToGrid w:val="0"/>
        <w:spacing w:line="360" w:lineRule="auto"/>
        <w:ind w:firstLine="480" w:firstLineChars="200"/>
        <w:outlineLvl w:val="0"/>
        <w:rPr>
          <w:rFonts w:hint="eastAsia" w:ascii="宋体" w:hAnsi="宋体" w:cs="宋体"/>
          <w:color w:val="auto"/>
          <w:sz w:val="24"/>
          <w:highlight w:val="none"/>
        </w:rPr>
      </w:pPr>
      <w:bookmarkStart w:id="518" w:name="_Toc38747329"/>
      <w:r>
        <w:rPr>
          <w:rFonts w:hint="eastAsia" w:ascii="宋体" w:hAnsi="宋体" w:cs="宋体"/>
          <w:color w:val="auto"/>
          <w:sz w:val="24"/>
          <w:highlight w:val="none"/>
        </w:rPr>
        <w:t>监理人审查承包人合理化建议的期限：</w:t>
      </w:r>
      <w:r>
        <w:rPr>
          <w:rFonts w:hint="eastAsia" w:ascii="宋体" w:hAnsi="宋体" w:cs="宋体"/>
          <w:color w:val="auto"/>
          <w:sz w:val="24"/>
          <w:highlight w:val="none"/>
          <w:u w:val="single"/>
        </w:rPr>
        <w:t xml:space="preserve">    7天内             </w:t>
      </w:r>
      <w:r>
        <w:rPr>
          <w:rFonts w:hint="eastAsia" w:ascii="宋体" w:hAnsi="宋体" w:cs="宋体"/>
          <w:color w:val="auto"/>
          <w:sz w:val="24"/>
          <w:highlight w:val="none"/>
        </w:rPr>
        <w:t>。</w:t>
      </w:r>
      <w:bookmarkEnd w:id="518"/>
    </w:p>
    <w:p w14:paraId="2060E955">
      <w:pPr>
        <w:adjustRightInd w:val="0"/>
        <w:snapToGrid w:val="0"/>
        <w:spacing w:line="360" w:lineRule="auto"/>
        <w:ind w:firstLine="480" w:firstLineChars="200"/>
        <w:outlineLvl w:val="0"/>
        <w:rPr>
          <w:rFonts w:hint="eastAsia" w:ascii="宋体" w:hAnsi="宋体" w:cs="宋体"/>
          <w:color w:val="auto"/>
          <w:sz w:val="24"/>
          <w:highlight w:val="none"/>
        </w:rPr>
      </w:pPr>
      <w:bookmarkStart w:id="519" w:name="_Toc38747330"/>
      <w:r>
        <w:rPr>
          <w:rFonts w:hint="eastAsia" w:ascii="宋体" w:hAnsi="宋体" w:cs="宋体"/>
          <w:color w:val="auto"/>
          <w:sz w:val="24"/>
          <w:highlight w:val="none"/>
        </w:rPr>
        <w:t>发包人审批承包人合理化建议的期限：</w:t>
      </w:r>
      <w:r>
        <w:rPr>
          <w:rFonts w:hint="eastAsia" w:ascii="宋体" w:hAnsi="宋体" w:cs="宋体"/>
          <w:color w:val="auto"/>
          <w:sz w:val="24"/>
          <w:highlight w:val="none"/>
          <w:u w:val="single"/>
        </w:rPr>
        <w:t xml:space="preserve">    7天内                </w:t>
      </w:r>
      <w:r>
        <w:rPr>
          <w:rFonts w:hint="eastAsia" w:ascii="宋体" w:hAnsi="宋体" w:cs="宋体"/>
          <w:color w:val="auto"/>
          <w:sz w:val="24"/>
          <w:highlight w:val="none"/>
        </w:rPr>
        <w:t>。</w:t>
      </w:r>
      <w:bookmarkEnd w:id="519"/>
    </w:p>
    <w:p w14:paraId="15902CAF">
      <w:pPr>
        <w:adjustRightInd w:val="0"/>
        <w:snapToGrid w:val="0"/>
        <w:spacing w:line="360" w:lineRule="auto"/>
        <w:ind w:firstLine="480" w:firstLineChars="200"/>
        <w:outlineLvl w:val="0"/>
        <w:rPr>
          <w:rFonts w:hint="eastAsia" w:ascii="宋体" w:hAnsi="宋体" w:cs="宋体"/>
          <w:color w:val="auto"/>
          <w:sz w:val="24"/>
          <w:highlight w:val="none"/>
          <w:u w:val="single"/>
        </w:rPr>
      </w:pPr>
      <w:bookmarkStart w:id="520" w:name="_Toc38747331"/>
      <w:r>
        <w:rPr>
          <w:rFonts w:hint="eastAsia" w:ascii="宋体" w:hAnsi="宋体" w:cs="宋体"/>
          <w:color w:val="auto"/>
          <w:sz w:val="24"/>
          <w:highlight w:val="none"/>
        </w:rPr>
        <w:t>承</w:t>
      </w:r>
      <w:bookmarkStart w:id="521" w:name="_Toc296891244"/>
      <w:bookmarkStart w:id="522" w:name="_Toc292559409"/>
      <w:bookmarkStart w:id="523" w:name="_Toc296503204"/>
      <w:bookmarkStart w:id="524" w:name="_Toc296346705"/>
      <w:bookmarkStart w:id="525" w:name="_Toc297216205"/>
      <w:bookmarkStart w:id="526" w:name="_Toc292559914"/>
      <w:bookmarkStart w:id="527" w:name="_Toc297120504"/>
      <w:bookmarkStart w:id="528" w:name="_Toc303539152"/>
      <w:bookmarkStart w:id="529" w:name="_Toc296944543"/>
      <w:bookmarkStart w:id="530" w:name="_Toc312678030"/>
      <w:bookmarkStart w:id="531" w:name="_Toc304295571"/>
      <w:bookmarkStart w:id="532" w:name="_Toc297048390"/>
      <w:bookmarkStart w:id="533" w:name="_Toc312677504"/>
      <w:bookmarkStart w:id="534" w:name="_Toc297123546"/>
      <w:bookmarkStart w:id="535" w:name="_Toc300934995"/>
      <w:bookmarkStart w:id="536" w:name="_Toc318581175"/>
      <w:bookmarkStart w:id="537" w:name="_Toc296891032"/>
      <w:bookmarkStart w:id="538" w:name="_Toc296347203"/>
      <w:r>
        <w:rPr>
          <w:rFonts w:hint="eastAsia" w:ascii="宋体" w:hAnsi="宋体" w:cs="宋体"/>
          <w:color w:val="auto"/>
          <w:sz w:val="24"/>
          <w:highlight w:val="none"/>
        </w:rPr>
        <w:t>包人提出的合理化建议降低了合同价格或者提高了工程经济效益的奖励的方法和金额为：</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520"/>
    </w:p>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14:paraId="3D65BBE4">
      <w:pPr>
        <w:adjustRightInd w:val="0"/>
        <w:snapToGrid w:val="0"/>
        <w:spacing w:line="360" w:lineRule="auto"/>
        <w:ind w:firstLine="480" w:firstLineChars="200"/>
        <w:outlineLvl w:val="0"/>
        <w:rPr>
          <w:rFonts w:hint="eastAsia" w:ascii="宋体" w:hAnsi="宋体" w:cs="宋体"/>
          <w:color w:val="auto"/>
          <w:sz w:val="24"/>
          <w:highlight w:val="none"/>
        </w:rPr>
      </w:pPr>
      <w:bookmarkStart w:id="539" w:name="_Toc38747332"/>
      <w:r>
        <w:rPr>
          <w:rFonts w:hint="eastAsia" w:ascii="宋体" w:hAnsi="宋体" w:cs="宋体"/>
          <w:color w:val="auto"/>
          <w:sz w:val="24"/>
          <w:highlight w:val="none"/>
        </w:rPr>
        <w:t>1</w:t>
      </w:r>
      <w:bookmarkStart w:id="540" w:name="_Toc296503199"/>
      <w:bookmarkStart w:id="541" w:name="_Toc296891239"/>
      <w:bookmarkStart w:id="542" w:name="_Toc312677507"/>
      <w:bookmarkStart w:id="543" w:name="_Toc296346700"/>
      <w:bookmarkStart w:id="544" w:name="_Toc297120499"/>
      <w:bookmarkStart w:id="545" w:name="_Toc300934997"/>
      <w:bookmarkStart w:id="546" w:name="_Toc297216207"/>
      <w:bookmarkStart w:id="547" w:name="_Toc292559404"/>
      <w:bookmarkStart w:id="548" w:name="_Toc296944538"/>
      <w:bookmarkStart w:id="549" w:name="_Toc297123548"/>
      <w:bookmarkStart w:id="550" w:name="_Toc296891027"/>
      <w:bookmarkStart w:id="551" w:name="_Toc304295574"/>
      <w:bookmarkStart w:id="552" w:name="_Toc312678033"/>
      <w:bookmarkStart w:id="553" w:name="_Toc297048385"/>
      <w:bookmarkStart w:id="554" w:name="_Toc292559909"/>
      <w:bookmarkStart w:id="555" w:name="_Toc296347198"/>
      <w:bookmarkStart w:id="556" w:name="_Toc303539154"/>
      <w:r>
        <w:rPr>
          <w:rFonts w:hint="eastAsia" w:ascii="宋体" w:hAnsi="宋体" w:cs="宋体"/>
          <w:color w:val="auto"/>
          <w:sz w:val="24"/>
          <w:highlight w:val="none"/>
        </w:rPr>
        <w:t>0.7 暂估价</w:t>
      </w:r>
      <w:bookmarkEnd w:id="539"/>
    </w:p>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14:paraId="47295156">
      <w:pPr>
        <w:adjustRightInd w:val="0"/>
        <w:snapToGrid w:val="0"/>
        <w:spacing w:line="360" w:lineRule="auto"/>
        <w:ind w:firstLine="480" w:firstLineChars="200"/>
        <w:outlineLvl w:val="0"/>
        <w:rPr>
          <w:rFonts w:hint="eastAsia" w:ascii="宋体" w:hAnsi="宋体" w:cs="宋体"/>
          <w:color w:val="auto"/>
          <w:sz w:val="24"/>
          <w:highlight w:val="none"/>
        </w:rPr>
      </w:pPr>
      <w:bookmarkStart w:id="557" w:name="_Toc38747333"/>
      <w:r>
        <w:rPr>
          <w:rFonts w:hint="eastAsia" w:ascii="宋体" w:hAnsi="宋体" w:cs="宋体"/>
          <w:color w:val="auto"/>
          <w:sz w:val="24"/>
          <w:highlight w:val="none"/>
        </w:rPr>
        <w:t>暂</w:t>
      </w:r>
      <w:bookmarkStart w:id="558" w:name="_Toc312677508"/>
      <w:bookmarkStart w:id="559" w:name="_Toc318581176"/>
      <w:bookmarkStart w:id="560" w:name="_Toc312678034"/>
      <w:r>
        <w:rPr>
          <w:rFonts w:hint="eastAsia" w:ascii="宋体" w:hAnsi="宋体" w:cs="宋体"/>
          <w:color w:val="auto"/>
          <w:sz w:val="24"/>
          <w:highlight w:val="none"/>
        </w:rPr>
        <w:t>估价材料和工程设备的明细详见附件11：《暂估价一览表》。</w:t>
      </w:r>
      <w:bookmarkEnd w:id="557"/>
    </w:p>
    <w:bookmarkEnd w:id="558"/>
    <w:bookmarkEnd w:id="559"/>
    <w:bookmarkEnd w:id="560"/>
    <w:p w14:paraId="5A6D93E9">
      <w:pPr>
        <w:adjustRightInd w:val="0"/>
        <w:snapToGrid w:val="0"/>
        <w:spacing w:line="360" w:lineRule="auto"/>
        <w:ind w:firstLine="480" w:firstLineChars="200"/>
        <w:outlineLvl w:val="0"/>
        <w:rPr>
          <w:rFonts w:hint="eastAsia" w:ascii="宋体" w:hAnsi="宋体" w:cs="宋体"/>
          <w:color w:val="auto"/>
          <w:sz w:val="24"/>
          <w:highlight w:val="none"/>
        </w:rPr>
      </w:pPr>
      <w:bookmarkStart w:id="561" w:name="_Toc38747334"/>
      <w:r>
        <w:rPr>
          <w:rFonts w:hint="eastAsia" w:ascii="宋体" w:hAnsi="宋体" w:cs="宋体"/>
          <w:color w:val="auto"/>
          <w:sz w:val="24"/>
          <w:highlight w:val="none"/>
        </w:rPr>
        <w:t>1</w:t>
      </w:r>
      <w:bookmarkStart w:id="562" w:name="_Toc312677509"/>
      <w:bookmarkStart w:id="563" w:name="_Toc318581177"/>
      <w:bookmarkStart w:id="564" w:name="_Toc312678035"/>
      <w:r>
        <w:rPr>
          <w:rFonts w:hint="eastAsia" w:ascii="宋体" w:hAnsi="宋体" w:cs="宋体"/>
          <w:color w:val="auto"/>
          <w:sz w:val="24"/>
          <w:highlight w:val="none"/>
        </w:rPr>
        <w:t>0.7.1 依法必须招标的暂估价项目</w:t>
      </w:r>
      <w:bookmarkEnd w:id="561"/>
    </w:p>
    <w:bookmarkEnd w:id="562"/>
    <w:bookmarkEnd w:id="563"/>
    <w:bookmarkEnd w:id="564"/>
    <w:p w14:paraId="35A09DB9">
      <w:pPr>
        <w:adjustRightInd w:val="0"/>
        <w:snapToGrid w:val="0"/>
        <w:spacing w:line="360" w:lineRule="auto"/>
        <w:ind w:firstLine="480" w:firstLineChars="200"/>
        <w:outlineLvl w:val="0"/>
        <w:rPr>
          <w:rFonts w:hint="eastAsia" w:ascii="宋体" w:hAnsi="宋体" w:cs="宋体"/>
          <w:color w:val="auto"/>
          <w:sz w:val="24"/>
          <w:highlight w:val="none"/>
        </w:rPr>
      </w:pPr>
      <w:bookmarkStart w:id="565" w:name="_Toc38747335"/>
      <w:r>
        <w:rPr>
          <w:rFonts w:hint="eastAsia" w:ascii="宋体" w:hAnsi="宋体" w:cs="宋体"/>
          <w:color w:val="auto"/>
          <w:sz w:val="24"/>
          <w:highlight w:val="none"/>
        </w:rPr>
        <w:t>对于依法必须招标的暂估价项目的确认和批准采取第</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种方式确定。</w:t>
      </w:r>
      <w:bookmarkEnd w:id="565"/>
    </w:p>
    <w:p w14:paraId="70499415">
      <w:pPr>
        <w:adjustRightInd w:val="0"/>
        <w:snapToGrid w:val="0"/>
        <w:spacing w:line="360" w:lineRule="auto"/>
        <w:ind w:firstLine="480" w:firstLineChars="200"/>
        <w:outlineLvl w:val="0"/>
        <w:rPr>
          <w:rFonts w:hint="eastAsia" w:ascii="宋体" w:hAnsi="宋体" w:cs="宋体"/>
          <w:color w:val="auto"/>
          <w:sz w:val="24"/>
          <w:highlight w:val="none"/>
        </w:rPr>
      </w:pPr>
      <w:bookmarkStart w:id="566" w:name="_Toc38747336"/>
      <w:r>
        <w:rPr>
          <w:rFonts w:hint="eastAsia" w:ascii="宋体" w:hAnsi="宋体" w:cs="宋体"/>
          <w:color w:val="auto"/>
          <w:sz w:val="24"/>
          <w:highlight w:val="none"/>
        </w:rPr>
        <w:t>10.7.2 不属于依法必须招标的暂估价项目</w:t>
      </w:r>
      <w:bookmarkEnd w:id="566"/>
    </w:p>
    <w:p w14:paraId="05EF06A5">
      <w:pPr>
        <w:adjustRightInd w:val="0"/>
        <w:snapToGrid w:val="0"/>
        <w:spacing w:line="360" w:lineRule="auto"/>
        <w:ind w:firstLine="480" w:firstLineChars="200"/>
        <w:outlineLvl w:val="0"/>
        <w:rPr>
          <w:rFonts w:hint="eastAsia" w:ascii="宋体" w:hAnsi="宋体" w:cs="宋体"/>
          <w:color w:val="auto"/>
          <w:sz w:val="24"/>
          <w:highlight w:val="none"/>
        </w:rPr>
      </w:pPr>
      <w:bookmarkStart w:id="567" w:name="_Toc38747337"/>
      <w:r>
        <w:rPr>
          <w:rFonts w:hint="eastAsia" w:ascii="宋体" w:hAnsi="宋体" w:cs="宋体"/>
          <w:color w:val="auto"/>
          <w:sz w:val="24"/>
          <w:highlight w:val="none"/>
        </w:rPr>
        <w:t>对于不属于依法必须招标的暂估价项目的确认和批准采取第</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种方式确定。</w:t>
      </w:r>
      <w:bookmarkEnd w:id="567"/>
    </w:p>
    <w:p w14:paraId="56FE0B6A">
      <w:pPr>
        <w:adjustRightInd w:val="0"/>
        <w:snapToGrid w:val="0"/>
        <w:spacing w:line="360" w:lineRule="auto"/>
        <w:ind w:firstLine="480" w:firstLineChars="200"/>
        <w:outlineLvl w:val="0"/>
        <w:rPr>
          <w:rFonts w:hint="eastAsia" w:ascii="宋体" w:hAnsi="宋体" w:cs="宋体"/>
          <w:color w:val="auto"/>
          <w:sz w:val="24"/>
          <w:highlight w:val="none"/>
        </w:rPr>
      </w:pPr>
      <w:bookmarkStart w:id="568" w:name="_Toc38747338"/>
      <w:r>
        <w:rPr>
          <w:rFonts w:hint="eastAsia" w:ascii="宋体" w:hAnsi="宋体" w:cs="宋体"/>
          <w:color w:val="auto"/>
          <w:sz w:val="24"/>
          <w:highlight w:val="none"/>
        </w:rPr>
        <w:t>第3种方式：承包人直接实施的暂估价项目</w:t>
      </w:r>
      <w:bookmarkEnd w:id="568"/>
    </w:p>
    <w:p w14:paraId="5A44DCCF">
      <w:pPr>
        <w:adjustRightInd w:val="0"/>
        <w:snapToGrid w:val="0"/>
        <w:spacing w:line="360" w:lineRule="auto"/>
        <w:ind w:firstLine="480" w:firstLineChars="200"/>
        <w:outlineLvl w:val="0"/>
        <w:rPr>
          <w:rFonts w:hint="eastAsia" w:ascii="宋体" w:hAnsi="宋体" w:cs="宋体"/>
          <w:color w:val="auto"/>
          <w:sz w:val="24"/>
          <w:highlight w:val="none"/>
        </w:rPr>
      </w:pPr>
      <w:bookmarkStart w:id="569" w:name="_Toc38747339"/>
      <w:r>
        <w:rPr>
          <w:rFonts w:hint="eastAsia" w:ascii="宋体" w:hAnsi="宋体" w:cs="宋体"/>
          <w:color w:val="auto"/>
          <w:sz w:val="24"/>
          <w:highlight w:val="none"/>
        </w:rPr>
        <w:t>承包人直接实施的暂估价项目的约定：</w:t>
      </w:r>
      <w:r>
        <w:rPr>
          <w:rFonts w:hint="eastAsia" w:ascii="宋体" w:hAnsi="宋体" w:cs="宋体"/>
          <w:color w:val="auto"/>
          <w:sz w:val="24"/>
          <w:highlight w:val="none"/>
          <w:u w:val="single"/>
        </w:rPr>
        <w:t xml:space="preserve">  由承发包双方协商   </w:t>
      </w:r>
      <w:r>
        <w:rPr>
          <w:rFonts w:hint="eastAsia" w:ascii="宋体" w:hAnsi="宋体" w:cs="宋体"/>
          <w:color w:val="auto"/>
          <w:sz w:val="24"/>
          <w:highlight w:val="none"/>
        </w:rPr>
        <w:t>。</w:t>
      </w:r>
      <w:bookmarkEnd w:id="569"/>
    </w:p>
    <w:p w14:paraId="0AA8F52F">
      <w:pPr>
        <w:adjustRightInd w:val="0"/>
        <w:snapToGrid w:val="0"/>
        <w:spacing w:line="360" w:lineRule="auto"/>
        <w:ind w:firstLine="480" w:firstLineChars="200"/>
        <w:outlineLvl w:val="0"/>
        <w:rPr>
          <w:rFonts w:hint="eastAsia" w:ascii="宋体" w:hAnsi="宋体" w:cs="宋体"/>
          <w:color w:val="auto"/>
          <w:sz w:val="24"/>
          <w:highlight w:val="none"/>
        </w:rPr>
      </w:pPr>
      <w:bookmarkStart w:id="570" w:name="_Toc38747340"/>
      <w:r>
        <w:rPr>
          <w:rFonts w:hint="eastAsia" w:ascii="宋体" w:hAnsi="宋体" w:cs="宋体"/>
          <w:color w:val="auto"/>
          <w:sz w:val="24"/>
          <w:highlight w:val="none"/>
        </w:rPr>
        <w:t>10.8 暂列金额</w:t>
      </w:r>
      <w:bookmarkEnd w:id="570"/>
    </w:p>
    <w:p w14:paraId="2D0AE2EB">
      <w:pPr>
        <w:adjustRightInd w:val="0"/>
        <w:snapToGrid w:val="0"/>
        <w:spacing w:line="360" w:lineRule="auto"/>
        <w:ind w:firstLine="480" w:firstLineChars="200"/>
        <w:outlineLvl w:val="0"/>
        <w:rPr>
          <w:rFonts w:hint="eastAsia" w:ascii="宋体" w:hAnsi="宋体" w:cs="宋体"/>
          <w:color w:val="auto"/>
          <w:sz w:val="24"/>
          <w:highlight w:val="none"/>
        </w:rPr>
      </w:pPr>
      <w:bookmarkStart w:id="571" w:name="_Toc38747341"/>
      <w:r>
        <w:rPr>
          <w:rFonts w:hint="eastAsia" w:ascii="宋体" w:hAnsi="宋体" w:cs="宋体"/>
          <w:color w:val="auto"/>
          <w:sz w:val="24"/>
          <w:highlight w:val="none"/>
        </w:rPr>
        <w:t>合同当事人关于暂列金额使用的约定：</w:t>
      </w:r>
      <w:r>
        <w:rPr>
          <w:rFonts w:hint="eastAsia" w:ascii="宋体" w:hAnsi="宋体" w:cs="宋体"/>
          <w:color w:val="auto"/>
          <w:sz w:val="24"/>
          <w:highlight w:val="none"/>
          <w:u w:val="single"/>
        </w:rPr>
        <w:t>须经发包人同意</w:t>
      </w:r>
      <w:r>
        <w:rPr>
          <w:rFonts w:hint="eastAsia" w:ascii="宋体" w:hAnsi="宋体" w:cs="宋体"/>
          <w:color w:val="auto"/>
          <w:sz w:val="24"/>
          <w:highlight w:val="none"/>
        </w:rPr>
        <w:t>。</w:t>
      </w:r>
      <w:bookmarkEnd w:id="571"/>
    </w:p>
    <w:p w14:paraId="1465F0BD">
      <w:pPr>
        <w:adjustRightInd w:val="0"/>
        <w:snapToGrid w:val="0"/>
        <w:spacing w:line="360" w:lineRule="auto"/>
        <w:ind w:firstLine="482" w:firstLineChars="200"/>
        <w:outlineLvl w:val="0"/>
        <w:rPr>
          <w:rFonts w:hint="eastAsia" w:ascii="宋体" w:hAnsi="宋体" w:cs="宋体"/>
          <w:b/>
          <w:color w:val="auto"/>
          <w:sz w:val="24"/>
          <w:highlight w:val="none"/>
          <w:lang w:val="zh-CN"/>
        </w:rPr>
      </w:pPr>
      <w:r>
        <w:rPr>
          <w:rFonts w:hint="eastAsia" w:ascii="宋体" w:hAnsi="宋体" w:cs="宋体"/>
          <w:b/>
          <w:color w:val="auto"/>
          <w:sz w:val="24"/>
          <w:highlight w:val="none"/>
          <w:lang w:val="zh-CN"/>
        </w:rPr>
        <w:t>11.价格调整</w:t>
      </w:r>
      <w:bookmarkEnd w:id="462"/>
    </w:p>
    <w:p w14:paraId="0C70322A">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11.1市场价格波动引起的调整</w:t>
      </w:r>
    </w:p>
    <w:p w14:paraId="5B6D6B0C">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市场价格波动是否调整合同价格的约定：</w:t>
      </w:r>
      <w:r>
        <w:rPr>
          <w:rFonts w:ascii="宋体" w:hAnsi="宋体"/>
          <w:color w:val="auto"/>
          <w:sz w:val="24"/>
          <w:highlight w:val="none"/>
          <w:u w:val="single"/>
        </w:rPr>
        <w:t xml:space="preserve"> </w:t>
      </w:r>
      <w:r>
        <w:rPr>
          <w:rFonts w:ascii="宋体" w:hAnsi="宋体"/>
          <w:b/>
          <w:bCs/>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4A596385">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因市场价格波动调整合同价格，采用以下第</w:t>
      </w:r>
      <w:r>
        <w:rPr>
          <w:rFonts w:ascii="宋体" w:hAnsi="宋体"/>
          <w:b/>
          <w:color w:val="auto"/>
          <w:sz w:val="24"/>
          <w:highlight w:val="none"/>
          <w:u w:val="single"/>
        </w:rPr>
        <w:t>3</w:t>
      </w:r>
      <w:r>
        <w:rPr>
          <w:rFonts w:hint="eastAsia" w:ascii="宋体" w:hAnsi="宋体"/>
          <w:color w:val="auto"/>
          <w:sz w:val="24"/>
          <w:highlight w:val="none"/>
        </w:rPr>
        <w:t>种方式对合同价格进行调整：</w:t>
      </w:r>
    </w:p>
    <w:p w14:paraId="3892C3C7">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第1种方式：采用价格指数进行价格调整。</w:t>
      </w:r>
    </w:p>
    <w:p w14:paraId="70BE856C">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关于各可调因子、定值和变值权重，以及基本价格指数及其来源的约定：/；</w:t>
      </w:r>
    </w:p>
    <w:p w14:paraId="2053263E">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第2种方式：采用造价信息进行价格调整。</w:t>
      </w:r>
    </w:p>
    <w:p w14:paraId="1A130ABF">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（2）关于基准价格的约定：/。</w:t>
      </w:r>
    </w:p>
    <w:p w14:paraId="6DEF9510">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专用合同条款①承包人在已标价工程量清单或预算书中载明的材料单价低于基准价格的：专用合同条款合同履行期间材料单价涨幅以基准价格为基础超过%时，或材料单价跌幅以已标价工程量清单或预算书中载明材料单价为基础超过/%时，其超过部分据实调整。</w:t>
      </w:r>
    </w:p>
    <w:p w14:paraId="4AB99545">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②承包人在已标价工程量清单或预算书中载明的材料单价高于基准价格的：专用合同条款合同履行期间材料单价跌幅以基准价格为基础超过/%时，材料单价涨幅以已标价工程量清单或预算书中载明材料单价为基础超过/%时，其超过部分据实调整。</w:t>
      </w:r>
    </w:p>
    <w:p w14:paraId="76C44583">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③承包人在已标价工程量清单或预算书中载明的材料单价等于基准单价的：专用合同条款合同履行期间材料单价涨跌幅以基准单价为基础超过±/%时，其超过部分据实调整。</w:t>
      </w:r>
    </w:p>
    <w:p w14:paraId="064E58C8">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r>
        <w:rPr>
          <w:rFonts w:hint="eastAsia" w:ascii="宋体" w:hAnsi="宋体"/>
          <w:color w:val="auto"/>
          <w:sz w:val="24"/>
          <w:highlight w:val="none"/>
          <w:u w:val="single"/>
        </w:rPr>
        <w:t>第3种方式：其他价格调整方式：详见专用合同条款12.1条约定。第3种方式：其他价格调整方式：详见专用合同条款12.1条约定。</w:t>
      </w:r>
    </w:p>
    <w:p w14:paraId="760763D3">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0"/>
        <w:rPr>
          <w:rFonts w:hint="eastAsia" w:ascii="宋体" w:hAnsi="宋体" w:cs="宋体"/>
          <w:b/>
          <w:color w:val="auto"/>
          <w:sz w:val="24"/>
          <w:highlight w:val="none"/>
          <w:lang w:val="zh-CN"/>
        </w:rPr>
      </w:pPr>
      <w:bookmarkStart w:id="572" w:name="_Toc38747354"/>
      <w:r>
        <w:rPr>
          <w:rFonts w:hint="eastAsia" w:ascii="宋体" w:hAnsi="宋体" w:cs="宋体"/>
          <w:b/>
          <w:color w:val="auto"/>
          <w:sz w:val="24"/>
          <w:highlight w:val="none"/>
          <w:lang w:val="zh-CN"/>
        </w:rPr>
        <w:t>12.合同价格、计量与支付</w:t>
      </w:r>
      <w:bookmarkEnd w:id="572"/>
    </w:p>
    <w:bookmarkEnd w:id="257"/>
    <w:p w14:paraId="169CB334">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 合同价格形式</w:t>
      </w:r>
    </w:p>
    <w:p w14:paraId="47C69A64">
      <w:pPr>
        <w:keepNext w:val="0"/>
        <w:keepLines w:val="0"/>
        <w:pageBreakBefore w:val="0"/>
        <w:kinsoku/>
        <w:wordWrap/>
        <w:overflowPunct/>
        <w:topLinePunct w:val="0"/>
        <w:autoSpaceDE/>
        <w:autoSpaceDN/>
        <w:bidi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12.1 合同价格形式：</w:t>
      </w:r>
      <w:r>
        <w:rPr>
          <w:rFonts w:hint="eastAsia" w:ascii="宋体" w:hAnsi="宋体"/>
          <w:color w:val="auto"/>
          <w:sz w:val="24"/>
          <w:highlight w:val="none"/>
          <w:u w:val="single"/>
        </w:rPr>
        <w:t>固定费率</w:t>
      </w:r>
      <w:r>
        <w:rPr>
          <w:rFonts w:hint="eastAsia" w:ascii="宋体" w:hAnsi="宋体"/>
          <w:color w:val="auto"/>
          <w:sz w:val="24"/>
          <w:highlight w:val="none"/>
        </w:rPr>
        <w:t>。</w:t>
      </w:r>
    </w:p>
    <w:p w14:paraId="0C218D72">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12.1.1 本合同价款采用</w:t>
      </w:r>
      <w:r>
        <w:rPr>
          <w:rFonts w:hint="eastAsia" w:ascii="宋体" w:hAnsi="宋体"/>
          <w:b/>
          <w:color w:val="auto"/>
          <w:sz w:val="24"/>
          <w:highlight w:val="none"/>
          <w:u w:val="single"/>
        </w:rPr>
        <w:t>总价让利</w:t>
      </w:r>
      <w:r>
        <w:rPr>
          <w:rFonts w:hint="eastAsia" w:ascii="宋体" w:hAnsi="宋体"/>
          <w:color w:val="auto"/>
          <w:sz w:val="24"/>
          <w:highlight w:val="none"/>
        </w:rPr>
        <w:t>方式确定。工程按实结算，</w:t>
      </w:r>
      <w:r>
        <w:rPr>
          <w:rFonts w:hint="eastAsia" w:ascii="宋体" w:hAnsi="宋体"/>
          <w:color w:val="auto"/>
          <w:sz w:val="24"/>
          <w:highlight w:val="none"/>
          <w:u w:val="single"/>
        </w:rPr>
        <w:t>总价下浮</w:t>
      </w:r>
      <w:r>
        <w:rPr>
          <w:rFonts w:hint="eastAsia" w:ascii="宋体" w:hAnsi="宋体"/>
          <w:b/>
          <w:bCs/>
          <w:color w:val="auto"/>
          <w:sz w:val="24"/>
          <w:highlight w:val="none"/>
          <w:u w:val="single"/>
          <w:lang w:val="en-US" w:eastAsia="zh-CN"/>
        </w:rPr>
        <w:t>6%</w:t>
      </w:r>
      <w:r>
        <w:rPr>
          <w:rFonts w:hint="eastAsia" w:ascii="宋体" w:hAnsi="宋体"/>
          <w:color w:val="auto"/>
          <w:sz w:val="24"/>
          <w:highlight w:val="none"/>
        </w:rPr>
        <w:t>（费率），即最终价款按审定价下浮</w:t>
      </w:r>
      <w:r>
        <w:rPr>
          <w:rFonts w:hint="eastAsia" w:ascii="宋体" w:hAnsi="宋体"/>
          <w:b/>
          <w:bCs/>
          <w:color w:val="auto"/>
          <w:sz w:val="24"/>
          <w:highlight w:val="none"/>
          <w:u w:val="single"/>
          <w:lang w:val="en-US" w:eastAsia="zh-CN"/>
        </w:rPr>
        <w:t>6%</w:t>
      </w:r>
      <w:r>
        <w:rPr>
          <w:rFonts w:hint="eastAsia" w:ascii="宋体" w:hAnsi="宋体"/>
          <w:color w:val="auto"/>
          <w:sz w:val="24"/>
          <w:highlight w:val="none"/>
        </w:rPr>
        <w:t>作为该项目的结算价；</w:t>
      </w:r>
    </w:p>
    <w:p w14:paraId="2335F967">
      <w:pPr>
        <w:keepNext w:val="0"/>
        <w:keepLines w:val="0"/>
        <w:pageBreakBefore w:val="0"/>
        <w:kinsoku/>
        <w:wordWrap/>
        <w:overflowPunct/>
        <w:topLinePunct w:val="0"/>
        <w:autoSpaceDE/>
        <w:autoSpaceDN/>
        <w:bidi w:val="0"/>
        <w:spacing w:line="360" w:lineRule="auto"/>
        <w:rPr>
          <w:rFonts w:hint="eastAsia" w:ascii="宋体" w:hAnsi="宋体"/>
          <w:color w:val="auto"/>
          <w:sz w:val="24"/>
          <w:highlight w:val="none"/>
        </w:rPr>
      </w:pPr>
      <w:r>
        <w:rPr>
          <w:rFonts w:hint="eastAsia" w:ascii="宋体" w:hAnsi="宋体"/>
          <w:color w:val="auto"/>
          <w:sz w:val="24"/>
          <w:highlight w:val="none"/>
        </w:rPr>
        <w:t>定价的基本原则如下：</w:t>
      </w:r>
    </w:p>
    <w:p w14:paraId="1A9CF79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color w:val="auto"/>
          <w:sz w:val="24"/>
          <w:highlight w:val="none"/>
        </w:rPr>
      </w:pPr>
      <w:r>
        <w:rPr>
          <w:rFonts w:hint="eastAsia"/>
          <w:color w:val="auto"/>
          <w:sz w:val="24"/>
          <w:highlight w:val="none"/>
        </w:rPr>
        <w:t>（1）</w:t>
      </w:r>
      <w:r>
        <w:rPr>
          <w:rFonts w:hint="eastAsia" w:ascii="宋体" w:hAnsi="宋体"/>
          <w:color w:val="auto"/>
          <w:kern w:val="0"/>
          <w:sz w:val="24"/>
          <w:szCs w:val="40"/>
          <w:highlight w:val="none"/>
          <w:u w:val="single"/>
        </w:rPr>
        <w:t>《建设工程工程量清单计价标准》（GBT50500-2024）、省住房和城乡建设厅关于实施《建设工程工程量清单计价标准》（GB/T50500-2024）及9本工程量计算标准有关事宜的公告〔2025〕第12号、2026年5月江苏省住房和城乡建设厅颁发的《江苏省建筑与装饰工程消耗量》《江苏省市政工程消耗量》《江苏省通用安装工程消耗量》《江苏省建设工程费用参考》及《江苏建设工程施工机具台班费用参考表》、《江苏省园林工程造价定额》（2007）、《江苏房屋修缮工程计价定额》（2009）文等有关规定执行</w:t>
      </w:r>
      <w:r>
        <w:rPr>
          <w:rFonts w:hint="eastAsia" w:ascii="宋体" w:hAnsi="宋体"/>
          <w:color w:val="auto"/>
          <w:kern w:val="0"/>
          <w:sz w:val="24"/>
          <w:szCs w:val="40"/>
          <w:highlight w:val="none"/>
          <w:u w:val="single"/>
          <w:lang w:eastAsia="zh-CN"/>
        </w:rPr>
        <w:t>及《省住房城乡建设厅关于调整建设工程计价增值税税率的通知》（苏建函价【2019】178号）文等有关规定</w:t>
      </w:r>
      <w:r>
        <w:rPr>
          <w:rFonts w:hint="eastAsia" w:ascii="宋体" w:hAnsi="宋体"/>
          <w:color w:val="auto"/>
          <w:kern w:val="0"/>
          <w:sz w:val="24"/>
          <w:szCs w:val="40"/>
          <w:highlight w:val="none"/>
          <w:u w:val="single"/>
        </w:rPr>
        <w:t>及配套费用定额和无锡地区相关规定</w:t>
      </w:r>
      <w:r>
        <w:rPr>
          <w:rFonts w:hint="eastAsia" w:ascii="宋体" w:hAnsi="宋体"/>
          <w:color w:val="auto"/>
          <w:kern w:val="0"/>
          <w:sz w:val="24"/>
          <w:szCs w:val="40"/>
          <w:highlight w:val="none"/>
          <w:u w:val="single"/>
          <w:lang w:eastAsia="zh-CN"/>
        </w:rPr>
        <w:t>。</w:t>
      </w:r>
    </w:p>
    <w:p w14:paraId="5DA4CB38">
      <w:pPr>
        <w:keepNext w:val="0"/>
        <w:keepLines w:val="0"/>
        <w:pageBreakBefore w:val="0"/>
        <w:widowControl w:val="0"/>
        <w:kinsoku/>
        <w:wordWrap/>
        <w:overflowPunct/>
        <w:topLinePunct w:val="0"/>
        <w:autoSpaceDE/>
        <w:autoSpaceDN/>
        <w:bidi w:val="0"/>
        <w:adjustRightInd/>
        <w:snapToGrid w:val="0"/>
        <w:spacing w:line="360" w:lineRule="auto"/>
        <w:ind w:firstLine="465"/>
        <w:textAlignment w:val="auto"/>
        <w:rPr>
          <w:rFonts w:hint="eastAsia"/>
          <w:color w:val="auto"/>
          <w:sz w:val="24"/>
          <w:highlight w:val="none"/>
        </w:rPr>
      </w:pPr>
      <w:r>
        <w:rPr>
          <w:rFonts w:hint="eastAsia"/>
          <w:color w:val="auto"/>
          <w:sz w:val="24"/>
          <w:highlight w:val="none"/>
        </w:rPr>
        <w:t>（2）</w:t>
      </w:r>
      <w:r>
        <w:rPr>
          <w:rFonts w:hint="eastAsia" w:ascii="宋体" w:hAnsi="宋体"/>
          <w:color w:val="auto"/>
          <w:kern w:val="0"/>
          <w:sz w:val="24"/>
          <w:szCs w:val="40"/>
          <w:highlight w:val="none"/>
          <w:u w:val="single"/>
        </w:rPr>
        <w:t>人工单价计价依据：土建、安装、市政专业人工单价按普工140元/工日，一般技工250元/工日，高级技工340元/工日；其他专业按省住房城乡建设厅2026年5月19日发布的《江苏省建设工程费用参考》中：一、有关说明的第10条执行</w:t>
      </w:r>
      <w:r>
        <w:rPr>
          <w:rFonts w:hint="eastAsia"/>
          <w:color w:val="auto"/>
          <w:sz w:val="24"/>
          <w:highlight w:val="none"/>
        </w:rPr>
        <w:t>。</w:t>
      </w:r>
    </w:p>
    <w:p w14:paraId="24E4D3C9">
      <w:pPr>
        <w:keepNext w:val="0"/>
        <w:keepLines w:val="0"/>
        <w:pageBreakBefore w:val="0"/>
        <w:widowControl w:val="0"/>
        <w:numPr>
          <w:ilvl w:val="-1"/>
          <w:numId w:val="0"/>
        </w:numPr>
        <w:kinsoku/>
        <w:wordWrap/>
        <w:overflowPunct/>
        <w:topLinePunct w:val="0"/>
        <w:autoSpaceDE/>
        <w:autoSpaceDN/>
        <w:bidi w:val="0"/>
        <w:adjustRightInd/>
        <w:snapToGrid w:val="0"/>
        <w:spacing w:line="360" w:lineRule="auto"/>
        <w:ind w:firstLine="465"/>
        <w:textAlignment w:val="auto"/>
        <w:rPr>
          <w:rFonts w:hint="eastAsia" w:ascii="宋体" w:hAnsi="宋体"/>
          <w:color w:val="auto"/>
          <w:kern w:val="0"/>
          <w:sz w:val="24"/>
          <w:szCs w:val="40"/>
          <w:highlight w:val="none"/>
          <w:u w:val="single"/>
        </w:rPr>
      </w:pPr>
      <w:r>
        <w:rPr>
          <w:rFonts w:hint="eastAsia" w:ascii="宋体" w:hAnsi="宋体"/>
          <w:color w:val="auto"/>
          <w:kern w:val="0"/>
          <w:sz w:val="24"/>
          <w:szCs w:val="40"/>
          <w:highlight w:val="none"/>
          <w:u w:val="none"/>
        </w:rPr>
        <w:t>（</w:t>
      </w:r>
      <w:r>
        <w:rPr>
          <w:rFonts w:hint="eastAsia" w:ascii="宋体" w:hAnsi="宋体"/>
          <w:color w:val="auto"/>
          <w:kern w:val="0"/>
          <w:sz w:val="24"/>
          <w:szCs w:val="40"/>
          <w:highlight w:val="none"/>
          <w:u w:val="none"/>
          <w:lang w:val="en-US" w:eastAsia="zh-CN"/>
        </w:rPr>
        <w:t>3</w:t>
      </w:r>
      <w:r>
        <w:rPr>
          <w:rFonts w:hint="eastAsia" w:ascii="宋体" w:hAnsi="宋体"/>
          <w:color w:val="auto"/>
          <w:kern w:val="0"/>
          <w:sz w:val="24"/>
          <w:szCs w:val="40"/>
          <w:highlight w:val="none"/>
          <w:u w:val="none"/>
        </w:rPr>
        <w:t>）</w:t>
      </w:r>
      <w:r>
        <w:rPr>
          <w:rFonts w:hint="eastAsia" w:ascii="宋体" w:hAnsi="宋体" w:cs="Times New Roman"/>
          <w:b w:val="0"/>
          <w:bCs w:val="0"/>
          <w:color w:val="auto"/>
          <w:kern w:val="0"/>
          <w:sz w:val="24"/>
          <w:szCs w:val="40"/>
          <w:highlight w:val="none"/>
          <w:u w:val="single"/>
          <w:lang w:eastAsia="zh-CN"/>
        </w:rPr>
        <w:t>材料单价计价依据：</w:t>
      </w:r>
      <w:r>
        <w:rPr>
          <w:rFonts w:hint="eastAsia" w:ascii="宋体" w:hAnsi="宋体" w:eastAsia="宋体" w:cs="Times New Roman"/>
          <w:b w:val="0"/>
          <w:bCs w:val="0"/>
          <w:color w:val="auto"/>
          <w:kern w:val="0"/>
          <w:sz w:val="24"/>
          <w:szCs w:val="40"/>
          <w:highlight w:val="none"/>
          <w:u w:val="single"/>
        </w:rPr>
        <w:t>按工程施工期间无锡市造价管理部门每月发布的《无锡工程造价信息》中材料</w:t>
      </w:r>
      <w:r>
        <w:rPr>
          <w:rFonts w:hint="eastAsia" w:ascii="宋体" w:hAnsi="宋体" w:eastAsia="宋体" w:cs="Times New Roman"/>
          <w:b w:val="0"/>
          <w:bCs w:val="0"/>
          <w:color w:val="auto"/>
          <w:kern w:val="0"/>
          <w:sz w:val="24"/>
          <w:szCs w:val="40"/>
          <w:highlight w:val="none"/>
          <w:u w:val="single"/>
          <w:lang w:eastAsia="zh-CN"/>
        </w:rPr>
        <w:t>除税</w:t>
      </w:r>
      <w:r>
        <w:rPr>
          <w:rFonts w:hint="eastAsia" w:ascii="宋体" w:hAnsi="宋体" w:eastAsia="宋体" w:cs="Times New Roman"/>
          <w:b w:val="0"/>
          <w:bCs w:val="0"/>
          <w:color w:val="auto"/>
          <w:kern w:val="0"/>
          <w:sz w:val="24"/>
          <w:szCs w:val="40"/>
          <w:highlight w:val="none"/>
          <w:u w:val="single"/>
        </w:rPr>
        <w:t>信息价计算,无信息价的按施工期间的市场价</w:t>
      </w:r>
      <w:r>
        <w:rPr>
          <w:rFonts w:hint="eastAsia" w:ascii="宋体" w:hAnsi="宋体" w:eastAsia="宋体" w:cs="Times New Roman"/>
          <w:b w:val="0"/>
          <w:bCs w:val="0"/>
          <w:color w:val="auto"/>
          <w:kern w:val="0"/>
          <w:sz w:val="24"/>
          <w:szCs w:val="40"/>
          <w:highlight w:val="none"/>
          <w:u w:val="single"/>
          <w:lang w:eastAsia="zh-CN"/>
        </w:rPr>
        <w:t>执行</w:t>
      </w:r>
      <w:r>
        <w:rPr>
          <w:rFonts w:hint="eastAsia" w:ascii="宋体" w:hAnsi="宋体" w:eastAsia="宋体" w:cs="Times New Roman"/>
          <w:b w:val="0"/>
          <w:bCs w:val="0"/>
          <w:color w:val="auto"/>
          <w:kern w:val="0"/>
          <w:sz w:val="24"/>
          <w:szCs w:val="40"/>
          <w:highlight w:val="none"/>
          <w:u w:val="single"/>
        </w:rPr>
        <w:t>。</w:t>
      </w:r>
    </w:p>
    <w:p w14:paraId="6A916459">
      <w:pPr>
        <w:keepNext w:val="0"/>
        <w:keepLines w:val="0"/>
        <w:pageBreakBefore w:val="0"/>
        <w:widowControl w:val="0"/>
        <w:numPr>
          <w:ilvl w:val="-1"/>
          <w:numId w:val="0"/>
        </w:numPr>
        <w:kinsoku/>
        <w:wordWrap/>
        <w:overflowPunct/>
        <w:topLinePunct w:val="0"/>
        <w:autoSpaceDE/>
        <w:autoSpaceDN/>
        <w:bidi w:val="0"/>
        <w:adjustRightInd/>
        <w:snapToGrid w:val="0"/>
        <w:spacing w:line="360" w:lineRule="auto"/>
        <w:ind w:firstLine="465"/>
        <w:textAlignment w:val="auto"/>
        <w:rPr>
          <w:rFonts w:hint="eastAsia" w:ascii="宋体" w:hAnsi="宋体" w:eastAsia="宋体" w:cs="Times New Roman"/>
          <w:b w:val="0"/>
          <w:bCs w:val="0"/>
          <w:color w:val="auto"/>
          <w:kern w:val="0"/>
          <w:sz w:val="24"/>
          <w:szCs w:val="40"/>
          <w:highlight w:val="none"/>
          <w:u w:val="single"/>
        </w:rPr>
      </w:pPr>
      <w:r>
        <w:rPr>
          <w:rFonts w:hint="eastAsia" w:ascii="宋体" w:hAnsi="宋体"/>
          <w:color w:val="auto"/>
          <w:kern w:val="0"/>
          <w:sz w:val="24"/>
          <w:szCs w:val="40"/>
          <w:highlight w:val="none"/>
          <w:u w:val="none"/>
        </w:rPr>
        <w:t>（</w:t>
      </w:r>
      <w:r>
        <w:rPr>
          <w:rFonts w:hint="eastAsia" w:ascii="宋体" w:hAnsi="宋体"/>
          <w:color w:val="auto"/>
          <w:kern w:val="0"/>
          <w:sz w:val="24"/>
          <w:szCs w:val="40"/>
          <w:highlight w:val="none"/>
          <w:u w:val="none"/>
          <w:lang w:val="en-US" w:eastAsia="zh-CN"/>
        </w:rPr>
        <w:t>4</w:t>
      </w:r>
      <w:r>
        <w:rPr>
          <w:rFonts w:hint="eastAsia" w:ascii="宋体" w:hAnsi="宋体"/>
          <w:color w:val="auto"/>
          <w:kern w:val="0"/>
          <w:sz w:val="24"/>
          <w:szCs w:val="40"/>
          <w:highlight w:val="none"/>
          <w:u w:val="none"/>
        </w:rPr>
        <w:t>）</w:t>
      </w:r>
      <w:r>
        <w:rPr>
          <w:rFonts w:hint="eastAsia" w:ascii="宋体" w:hAnsi="宋体"/>
          <w:b w:val="0"/>
          <w:bCs w:val="0"/>
          <w:color w:val="auto"/>
          <w:kern w:val="0"/>
          <w:sz w:val="24"/>
          <w:szCs w:val="40"/>
          <w:highlight w:val="none"/>
          <w:u w:val="single"/>
          <w:lang w:eastAsia="zh-CN"/>
        </w:rPr>
        <w:t>机械单价计价依据：</w:t>
      </w:r>
      <w:r>
        <w:rPr>
          <w:rFonts w:hint="eastAsia" w:ascii="宋体" w:hAnsi="宋体" w:eastAsia="宋体" w:cs="Times New Roman"/>
          <w:b w:val="0"/>
          <w:bCs w:val="0"/>
          <w:color w:val="auto"/>
          <w:kern w:val="0"/>
          <w:sz w:val="24"/>
          <w:szCs w:val="40"/>
          <w:highlight w:val="none"/>
          <w:u w:val="single"/>
          <w:lang w:eastAsia="zh-CN"/>
        </w:rPr>
        <w:t>按《江苏省建设工程施工机具台班费用参考表》</w:t>
      </w:r>
      <w:r>
        <w:rPr>
          <w:rFonts w:hint="eastAsia" w:ascii="宋体" w:hAnsi="宋体" w:cs="Times New Roman"/>
          <w:b w:val="0"/>
          <w:bCs w:val="0"/>
          <w:color w:val="auto"/>
          <w:kern w:val="0"/>
          <w:sz w:val="24"/>
          <w:szCs w:val="40"/>
          <w:highlight w:val="none"/>
          <w:u w:val="single"/>
          <w:lang w:eastAsia="zh-CN"/>
        </w:rPr>
        <w:t>（</w:t>
      </w:r>
      <w:r>
        <w:rPr>
          <w:rFonts w:hint="eastAsia" w:ascii="宋体" w:hAnsi="宋体" w:cs="Times New Roman"/>
          <w:b w:val="0"/>
          <w:bCs w:val="0"/>
          <w:color w:val="auto"/>
          <w:kern w:val="0"/>
          <w:sz w:val="24"/>
          <w:szCs w:val="40"/>
          <w:highlight w:val="none"/>
          <w:u w:val="single"/>
          <w:lang w:val="en-US" w:eastAsia="zh-CN"/>
        </w:rPr>
        <w:t>2026版）</w:t>
      </w:r>
      <w:r>
        <w:rPr>
          <w:rFonts w:hint="eastAsia" w:ascii="宋体" w:hAnsi="宋体" w:cs="Times New Roman"/>
          <w:b w:val="0"/>
          <w:bCs w:val="0"/>
          <w:color w:val="auto"/>
          <w:kern w:val="0"/>
          <w:sz w:val="24"/>
          <w:szCs w:val="40"/>
          <w:highlight w:val="none"/>
          <w:u w:val="single"/>
          <w:lang w:eastAsia="zh-CN"/>
        </w:rPr>
        <w:t>，人工单价及汽柴油单价按上述（</w:t>
      </w:r>
      <w:r>
        <w:rPr>
          <w:rFonts w:hint="eastAsia" w:ascii="宋体" w:hAnsi="宋体" w:cs="Times New Roman"/>
          <w:b w:val="0"/>
          <w:bCs w:val="0"/>
          <w:color w:val="auto"/>
          <w:kern w:val="0"/>
          <w:sz w:val="24"/>
          <w:szCs w:val="40"/>
          <w:highlight w:val="none"/>
          <w:u w:val="single"/>
          <w:lang w:val="en-US" w:eastAsia="zh-CN"/>
        </w:rPr>
        <w:t>2）、（3）条款执行；</w:t>
      </w:r>
    </w:p>
    <w:p w14:paraId="6EE96BEF">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5</w:t>
      </w:r>
      <w:r>
        <w:rPr>
          <w:rFonts w:hint="eastAsia" w:ascii="宋体" w:hAnsi="宋体"/>
          <w:color w:val="auto"/>
          <w:sz w:val="24"/>
          <w:highlight w:val="none"/>
          <w:lang w:eastAsia="zh-CN"/>
        </w:rPr>
        <w:t>）</w:t>
      </w:r>
      <w:r>
        <w:rPr>
          <w:rFonts w:hint="eastAsia" w:ascii="宋体" w:hAnsi="宋体"/>
          <w:color w:val="auto"/>
          <w:sz w:val="24"/>
          <w:highlight w:val="none"/>
        </w:rPr>
        <w:t>最终结算总价以审定价×（1-让利比例</w:t>
      </w:r>
      <w:r>
        <w:rPr>
          <w:rFonts w:hint="eastAsia" w:ascii="宋体" w:hAnsi="宋体"/>
          <w:color w:val="auto"/>
          <w:sz w:val="24"/>
          <w:highlight w:val="none"/>
          <w:u w:val="single"/>
          <w:lang w:val="en-US" w:eastAsia="zh-CN"/>
        </w:rPr>
        <w:t>6%</w:t>
      </w:r>
      <w:r>
        <w:rPr>
          <w:rFonts w:hint="eastAsia" w:ascii="宋体" w:hAnsi="宋体"/>
          <w:color w:val="auto"/>
          <w:sz w:val="24"/>
          <w:highlight w:val="none"/>
        </w:rPr>
        <w:t>）为准。结算审计过程中，不再增加任何结算资料，送审的结算书若有遗漏项目均作为让利给发包人，不作增加调整。</w:t>
      </w:r>
    </w:p>
    <w:p w14:paraId="5DED28E8">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）本项目竣工结算按苏建价【2016】154号</w:t>
      </w:r>
      <w:r>
        <w:rPr>
          <w:rFonts w:hint="eastAsia"/>
          <w:bCs/>
          <w:color w:val="auto"/>
          <w:sz w:val="24"/>
          <w:highlight w:val="none"/>
        </w:rPr>
        <w:t>、</w:t>
      </w:r>
      <w:r>
        <w:rPr>
          <w:rFonts w:hint="eastAsia" w:ascii="宋体" w:hAnsi="宋体" w:cs="宋体"/>
          <w:bCs/>
          <w:color w:val="auto"/>
          <w:kern w:val="0"/>
          <w:sz w:val="24"/>
          <w:highlight w:val="none"/>
        </w:rPr>
        <w:t>苏建函价【2019】178文件</w:t>
      </w:r>
      <w:r>
        <w:rPr>
          <w:rFonts w:hint="eastAsia" w:ascii="宋体" w:hAnsi="宋体" w:cs="宋体"/>
          <w:color w:val="auto"/>
          <w:kern w:val="0"/>
          <w:sz w:val="24"/>
          <w:highlight w:val="none"/>
        </w:rPr>
        <w:t>执行,计税方法为一般计税法。</w:t>
      </w:r>
    </w:p>
    <w:p w14:paraId="4D5FAA7E">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ascii="宋体" w:hAnsi="宋体"/>
          <w:color w:val="auto"/>
          <w:sz w:val="24"/>
          <w:highlight w:val="none"/>
        </w:rPr>
        <w:t>2、总价合同。</w:t>
      </w:r>
    </w:p>
    <w:p w14:paraId="4FF23F8E">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ascii="宋体" w:hAnsi="宋体"/>
          <w:color w:val="auto"/>
          <w:sz w:val="24"/>
          <w:highlight w:val="none"/>
        </w:rPr>
        <w:t>总价包含的风险范围：</w:t>
      </w:r>
      <w:r>
        <w:rPr>
          <w:rFonts w:hint="eastAsia" w:ascii="宋体" w:hAnsi="宋体"/>
          <w:color w:val="auto"/>
          <w:sz w:val="24"/>
          <w:highlight w:val="none"/>
          <w:u w:val="single"/>
        </w:rPr>
        <w:t xml:space="preserve">    /     </w:t>
      </w:r>
      <w:r>
        <w:rPr>
          <w:rFonts w:ascii="宋体" w:hAnsi="宋体"/>
          <w:color w:val="auto"/>
          <w:sz w:val="24"/>
          <w:highlight w:val="none"/>
          <w:u w:val="single"/>
        </w:rPr>
        <w:t xml:space="preserve">    </w:t>
      </w:r>
      <w:r>
        <w:rPr>
          <w:rFonts w:ascii="宋体" w:hAnsi="宋体"/>
          <w:color w:val="auto"/>
          <w:sz w:val="24"/>
          <w:highlight w:val="none"/>
        </w:rPr>
        <w:t xml:space="preserve"> 。</w:t>
      </w:r>
    </w:p>
    <w:p w14:paraId="3BD58A47">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ascii="宋体" w:hAnsi="宋体"/>
          <w:color w:val="auto"/>
          <w:sz w:val="24"/>
          <w:highlight w:val="none"/>
        </w:rPr>
        <w:t>风险费用的计算方法：</w:t>
      </w:r>
      <w:r>
        <w:rPr>
          <w:rFonts w:hint="eastAsia" w:ascii="宋体" w:hAnsi="宋体"/>
          <w:color w:val="auto"/>
          <w:sz w:val="24"/>
          <w:highlight w:val="none"/>
          <w:u w:val="single"/>
        </w:rPr>
        <w:t xml:space="preserve">       /     </w:t>
      </w:r>
      <w:r>
        <w:rPr>
          <w:rFonts w:ascii="宋体" w:hAnsi="宋体"/>
          <w:color w:val="auto"/>
          <w:sz w:val="24"/>
          <w:highlight w:val="none"/>
          <w:u w:val="single"/>
        </w:rPr>
        <w:t xml:space="preserve">    </w:t>
      </w:r>
      <w:r>
        <w:rPr>
          <w:rFonts w:ascii="宋体" w:hAnsi="宋体"/>
          <w:color w:val="auto"/>
          <w:sz w:val="24"/>
          <w:highlight w:val="none"/>
        </w:rPr>
        <w:t>。</w:t>
      </w:r>
    </w:p>
    <w:p w14:paraId="3E83AF2E">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ascii="宋体" w:hAnsi="宋体"/>
          <w:color w:val="auto"/>
          <w:sz w:val="24"/>
          <w:highlight w:val="none"/>
        </w:rPr>
        <w:t>风险范围以外合同价格的调整方法：</w:t>
      </w:r>
      <w:r>
        <w:rPr>
          <w:rFonts w:hint="eastAsia" w:ascii="宋体" w:hAnsi="宋体"/>
          <w:color w:val="auto"/>
          <w:sz w:val="24"/>
          <w:highlight w:val="none"/>
          <w:u w:val="single"/>
        </w:rPr>
        <w:t xml:space="preserve">    /     </w:t>
      </w:r>
      <w:r>
        <w:rPr>
          <w:rFonts w:ascii="宋体" w:hAnsi="宋体"/>
          <w:color w:val="auto"/>
          <w:sz w:val="24"/>
          <w:highlight w:val="none"/>
          <w:u w:val="single"/>
        </w:rPr>
        <w:t xml:space="preserve">    </w:t>
      </w:r>
      <w:r>
        <w:rPr>
          <w:rFonts w:ascii="宋体" w:hAnsi="宋体"/>
          <w:color w:val="auto"/>
          <w:sz w:val="24"/>
          <w:highlight w:val="none"/>
        </w:rPr>
        <w:t>。</w:t>
      </w:r>
    </w:p>
    <w:p w14:paraId="26AEC134">
      <w:pPr>
        <w:keepNext w:val="0"/>
        <w:keepLines w:val="0"/>
        <w:pageBreakBefore w:val="0"/>
        <w:kinsoku/>
        <w:wordWrap/>
        <w:overflowPunct/>
        <w:topLinePunct w:val="0"/>
        <w:autoSpaceDE/>
        <w:autoSpaceDN/>
        <w:bidi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3、其他价格方式：</w:t>
      </w:r>
      <w:r>
        <w:rPr>
          <w:rFonts w:hint="eastAsia" w:ascii="宋体" w:hAnsi="宋体"/>
          <w:color w:val="auto"/>
          <w:sz w:val="24"/>
          <w:highlight w:val="none"/>
          <w:u w:val="single"/>
        </w:rPr>
        <w:t xml:space="preserve">           /                   </w:t>
      </w:r>
      <w:r>
        <w:rPr>
          <w:rFonts w:ascii="宋体" w:hAnsi="宋体"/>
          <w:color w:val="auto"/>
          <w:sz w:val="24"/>
          <w:highlight w:val="none"/>
          <w:u w:val="single"/>
        </w:rPr>
        <w:t xml:space="preserve">  </w:t>
      </w:r>
      <w:r>
        <w:rPr>
          <w:rFonts w:ascii="宋体" w:hAnsi="宋体"/>
          <w:color w:val="auto"/>
          <w:sz w:val="24"/>
          <w:highlight w:val="none"/>
        </w:rPr>
        <w:t xml:space="preserve"> 。</w:t>
      </w:r>
    </w:p>
    <w:p w14:paraId="2AA3AF7E">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12.2预付款</w:t>
      </w:r>
    </w:p>
    <w:p w14:paraId="6682A8F9">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12.2.1预付款的支付</w:t>
      </w:r>
    </w:p>
    <w:p w14:paraId="5AF81D24">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预付款支付比例或金额：</w:t>
      </w:r>
      <w:r>
        <w:rPr>
          <w:rFonts w:hint="eastAsia" w:ascii="宋体" w:hAnsi="宋体"/>
          <w:color w:val="auto"/>
          <w:sz w:val="24"/>
          <w:highlight w:val="none"/>
          <w:u w:val="single"/>
        </w:rPr>
        <w:t>/。</w:t>
      </w:r>
    </w:p>
    <w:p w14:paraId="6278D408">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预付款支付期限：</w:t>
      </w:r>
      <w:r>
        <w:rPr>
          <w:rFonts w:hint="eastAsia" w:ascii="宋体" w:hAnsi="宋体"/>
          <w:color w:val="auto"/>
          <w:sz w:val="24"/>
          <w:highlight w:val="none"/>
          <w:u w:val="single"/>
        </w:rPr>
        <w:t>/。</w:t>
      </w:r>
    </w:p>
    <w:p w14:paraId="06753467">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预付款扣回的方式：</w:t>
      </w:r>
      <w:r>
        <w:rPr>
          <w:rFonts w:hint="eastAsia" w:ascii="宋体" w:hAnsi="宋体"/>
          <w:color w:val="auto"/>
          <w:sz w:val="24"/>
          <w:highlight w:val="none"/>
          <w:u w:val="single"/>
        </w:rPr>
        <w:t>/。</w:t>
      </w:r>
    </w:p>
    <w:p w14:paraId="46975E9F">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12.2.2预付款担保</w:t>
      </w:r>
    </w:p>
    <w:p w14:paraId="35CBA1AF">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承包人提交预付款担保的期限：</w:t>
      </w:r>
      <w:r>
        <w:rPr>
          <w:rFonts w:hint="eastAsia" w:ascii="宋体" w:hAnsi="宋体"/>
          <w:color w:val="auto"/>
          <w:sz w:val="24"/>
          <w:highlight w:val="none"/>
          <w:u w:val="single"/>
        </w:rPr>
        <w:t>/。</w:t>
      </w:r>
    </w:p>
    <w:p w14:paraId="2979605E">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预付款担保的形式为：</w:t>
      </w:r>
      <w:r>
        <w:rPr>
          <w:rFonts w:hint="eastAsia" w:ascii="宋体" w:hAnsi="宋体"/>
          <w:color w:val="auto"/>
          <w:sz w:val="24"/>
          <w:highlight w:val="none"/>
          <w:u w:val="single"/>
        </w:rPr>
        <w:t>/。</w:t>
      </w:r>
    </w:p>
    <w:p w14:paraId="56C8C0A0">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12.3计量</w:t>
      </w:r>
    </w:p>
    <w:p w14:paraId="5B28E8E3">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12.3.1计量原则</w:t>
      </w:r>
    </w:p>
    <w:p w14:paraId="7592488F">
      <w:pPr>
        <w:keepNext w:val="0"/>
        <w:keepLines w:val="0"/>
        <w:pageBreakBefore w:val="0"/>
        <w:kinsoku/>
        <w:wordWrap/>
        <w:overflowPunct/>
        <w:topLinePunct w:val="0"/>
        <w:autoSpaceDE/>
        <w:autoSpaceDN/>
        <w:bidi w:val="0"/>
        <w:spacing w:line="360" w:lineRule="auto"/>
        <w:ind w:firstLine="480" w:firstLineChars="200"/>
        <w:rPr>
          <w:rFonts w:ascii="宋体" w:hAnsi="宋体"/>
          <w:b w:val="0"/>
          <w:bCs w:val="0"/>
          <w:color w:val="auto"/>
          <w:sz w:val="24"/>
          <w:highlight w:val="none"/>
          <w:u w:val="single"/>
        </w:rPr>
      </w:pPr>
      <w:r>
        <w:rPr>
          <w:rFonts w:hint="eastAsia" w:ascii="宋体" w:hAnsi="宋体"/>
          <w:color w:val="auto"/>
          <w:sz w:val="24"/>
          <w:highlight w:val="none"/>
        </w:rPr>
        <w:t>工程量计算规则：</w:t>
      </w:r>
      <w:r>
        <w:rPr>
          <w:rFonts w:hint="eastAsia" w:ascii="宋体" w:hAnsi="宋体"/>
          <w:b w:val="0"/>
          <w:bCs w:val="0"/>
          <w:color w:val="auto"/>
          <w:sz w:val="24"/>
          <w:highlight w:val="none"/>
          <w:u w:val="single"/>
        </w:rPr>
        <w:t>招标人提供的图纸、</w:t>
      </w:r>
      <w:r>
        <w:rPr>
          <w:rFonts w:hint="eastAsia" w:ascii="宋体" w:hAnsi="宋体"/>
          <w:b w:val="0"/>
          <w:bCs w:val="0"/>
          <w:color w:val="auto"/>
          <w:kern w:val="0"/>
          <w:sz w:val="24"/>
          <w:szCs w:val="40"/>
          <w:highlight w:val="none"/>
          <w:u w:val="single"/>
        </w:rPr>
        <w:t>《建设工程工程量清单计价标准》（GBT50500-2024）、省住房和城乡建设厅关于实施《建设工程工程量清单计价标准》（GB/T50500-2024）及9本工程量计算标准有关事宜的公告〔2025〕第12号、2026年5月江苏省住房和城乡建设厅颁发的《江苏省建筑与装饰工程消耗量》《江苏省市政工程消耗量》《江苏省通用安装工程消耗量》《江苏省建设工程费用参考》及《江苏建设工程施工机具台班费用参考表》、《江苏省园林工程造价定额》（2007）、《江苏房屋修缮工程计价定额》（2009）文等有关规定执行</w:t>
      </w:r>
      <w:r>
        <w:rPr>
          <w:rFonts w:hint="eastAsia" w:ascii="宋体" w:hAnsi="宋体"/>
          <w:b w:val="0"/>
          <w:bCs w:val="0"/>
          <w:color w:val="auto"/>
          <w:kern w:val="0"/>
          <w:sz w:val="24"/>
          <w:szCs w:val="40"/>
          <w:highlight w:val="none"/>
          <w:u w:val="single"/>
          <w:lang w:eastAsia="zh-CN"/>
        </w:rPr>
        <w:t>及《省住房城乡建设厅关于调整建设工程计价增值税税率的通知》（苏建函价【2019】178号）文等有关规定</w:t>
      </w:r>
      <w:r>
        <w:rPr>
          <w:rFonts w:hint="eastAsia" w:ascii="宋体" w:hAnsi="宋体"/>
          <w:b w:val="0"/>
          <w:bCs w:val="0"/>
          <w:color w:val="auto"/>
          <w:kern w:val="0"/>
          <w:sz w:val="24"/>
          <w:szCs w:val="40"/>
          <w:highlight w:val="none"/>
          <w:u w:val="single"/>
        </w:rPr>
        <w:t>及配套费用定额和无锡地区相关规定</w:t>
      </w:r>
      <w:r>
        <w:rPr>
          <w:rFonts w:hint="eastAsia" w:ascii="宋体" w:hAnsi="宋体"/>
          <w:b w:val="0"/>
          <w:bCs w:val="0"/>
          <w:color w:val="auto"/>
          <w:sz w:val="24"/>
          <w:highlight w:val="none"/>
          <w:u w:val="single"/>
        </w:rPr>
        <w:t>和发包人要求编制的。</w:t>
      </w:r>
    </w:p>
    <w:p w14:paraId="7762A72D">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12.3.2计量周期</w:t>
      </w:r>
    </w:p>
    <w:p w14:paraId="4C55411A">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关于计量周期的约定：</w:t>
      </w:r>
      <w:r>
        <w:rPr>
          <w:rFonts w:ascii="宋体" w:hAnsi="宋体"/>
          <w:color w:val="auto"/>
          <w:sz w:val="24"/>
          <w:highlight w:val="none"/>
          <w:u w:val="single"/>
        </w:rPr>
        <w:t>按月计量（招标文件中的其他约定与此条款不一致的，按此条款执行），由监理工程师、跟踪审计和发包人代表进行审核</w:t>
      </w:r>
      <w:r>
        <w:rPr>
          <w:rFonts w:hint="eastAsia" w:ascii="宋体" w:hAnsi="宋体"/>
          <w:color w:val="auto"/>
          <w:sz w:val="24"/>
          <w:highlight w:val="none"/>
          <w:u w:val="single"/>
        </w:rPr>
        <w:t>。</w:t>
      </w:r>
    </w:p>
    <w:p w14:paraId="52FE70D1">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12.3.3单价合同的计量</w:t>
      </w:r>
    </w:p>
    <w:p w14:paraId="32897376">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关于单价合同计量的约定：</w:t>
      </w:r>
      <w:r>
        <w:rPr>
          <w:rFonts w:ascii="宋体" w:hAnsi="宋体"/>
          <w:color w:val="auto"/>
          <w:sz w:val="24"/>
          <w:highlight w:val="none"/>
          <w:u w:val="single"/>
        </w:rPr>
        <w:t>承包人应于每月25日向监理人报送上月20日至当月19日已完成的工程量报告，并附具进度付款申请单、已完成工程量报表和有关资料</w:t>
      </w:r>
      <w:r>
        <w:rPr>
          <w:rFonts w:hint="eastAsia" w:ascii="宋体" w:hAnsi="宋体"/>
          <w:color w:val="auto"/>
          <w:sz w:val="24"/>
          <w:highlight w:val="none"/>
          <w:u w:val="single"/>
        </w:rPr>
        <w:t>。</w:t>
      </w:r>
    </w:p>
    <w:p w14:paraId="7359037E">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12.3.4总价合同的计量</w:t>
      </w:r>
    </w:p>
    <w:p w14:paraId="545439D5">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关于总价合同计量的约定：</w:t>
      </w:r>
      <w:r>
        <w:rPr>
          <w:rFonts w:hint="eastAsia" w:ascii="宋体" w:hAnsi="宋体"/>
          <w:color w:val="auto"/>
          <w:sz w:val="24"/>
          <w:highlight w:val="none"/>
          <w:u w:val="single"/>
        </w:rPr>
        <w:t>/。</w:t>
      </w:r>
    </w:p>
    <w:p w14:paraId="5B1C1E66">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12.3.5总价合同采用支付分解表计量支付的，是否适用第12.3.4项〔总价合同的计量〕约定进行计量：</w:t>
      </w:r>
      <w:r>
        <w:rPr>
          <w:rFonts w:hint="eastAsia" w:ascii="宋体" w:hAnsi="宋体"/>
          <w:color w:val="auto"/>
          <w:sz w:val="24"/>
          <w:highlight w:val="none"/>
          <w:u w:val="single"/>
        </w:rPr>
        <w:t>/。</w:t>
      </w:r>
    </w:p>
    <w:p w14:paraId="05F801AE">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12.3.6其他价格形式合同的计量</w:t>
      </w:r>
    </w:p>
    <w:p w14:paraId="27F9DE4E">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其他价格形式的计量方式和程序：</w:t>
      </w:r>
      <w:r>
        <w:rPr>
          <w:rFonts w:hint="eastAsia" w:ascii="宋体" w:hAnsi="宋体"/>
          <w:color w:val="auto"/>
          <w:sz w:val="24"/>
          <w:highlight w:val="none"/>
          <w:u w:val="single"/>
        </w:rPr>
        <w:t>/。</w:t>
      </w:r>
    </w:p>
    <w:p w14:paraId="6E0DC5D4">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12.4 </w:t>
      </w:r>
      <w:r>
        <w:rPr>
          <w:rFonts w:hint="eastAsia" w:ascii="宋体" w:hAnsi="宋体"/>
          <w:color w:val="auto"/>
          <w:sz w:val="24"/>
          <w:highlight w:val="none"/>
        </w:rPr>
        <w:t>工程进度款支付</w:t>
      </w:r>
    </w:p>
    <w:p w14:paraId="2328F464">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12.4.1 </w:t>
      </w:r>
      <w:r>
        <w:rPr>
          <w:rFonts w:hint="eastAsia" w:ascii="宋体" w:hAnsi="宋体"/>
          <w:color w:val="auto"/>
          <w:sz w:val="24"/>
          <w:highlight w:val="none"/>
        </w:rPr>
        <w:t>付款周期</w:t>
      </w:r>
    </w:p>
    <w:p w14:paraId="138B3B03">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宋体"/>
          <w:b/>
          <w:bCs/>
          <w:color w:val="auto"/>
          <w:sz w:val="24"/>
          <w:szCs w:val="24"/>
          <w:highlight w:val="none"/>
          <w:u w:val="single"/>
        </w:rPr>
      </w:pPr>
      <w:r>
        <w:rPr>
          <w:rFonts w:hint="eastAsia" w:ascii="宋体" w:hAnsi="宋体"/>
          <w:color w:val="auto"/>
          <w:sz w:val="24"/>
          <w:highlight w:val="none"/>
        </w:rPr>
        <w:t>关于付款周期的约定：</w:t>
      </w:r>
      <w:r>
        <w:rPr>
          <w:rFonts w:hint="eastAsia" w:ascii="宋体" w:hAnsi="宋体" w:eastAsia="宋体" w:cs="宋体"/>
          <w:b/>
          <w:bCs/>
          <w:color w:val="auto"/>
          <w:kern w:val="0"/>
          <w:sz w:val="24"/>
          <w:szCs w:val="24"/>
          <w:highlight w:val="none"/>
          <w:u w:val="single"/>
        </w:rPr>
        <w:t>承包人于每年年中、年末分别提交一次经发包人现场负责人、监理、跟踪审计共同确认的已完成工作量计量报告，经发包人核实后支付工程进度款，付款额为当期已完成工程量的40%；工程完工验收合格，最多付至签约合同价款的50%；工程竣工验收合格且结算审计结束后，付至核定价款的70%；余款待结算审计结束一年后一次性付清，付款时承包人出具满足发包人财务要求的相应金额的税金发票。</w:t>
      </w:r>
    </w:p>
    <w:p w14:paraId="55BC64E5">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12.4.2进度付款申请单的编制</w:t>
      </w:r>
    </w:p>
    <w:p w14:paraId="70068A6E">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关于进度付款申请单编制的约定：</w:t>
      </w:r>
      <w:r>
        <w:rPr>
          <w:rFonts w:hint="eastAsia" w:ascii="宋体" w:hAnsi="宋体"/>
          <w:color w:val="auto"/>
          <w:sz w:val="24"/>
          <w:highlight w:val="none"/>
          <w:u w:val="single"/>
        </w:rPr>
        <w:t>按通用条款执行。</w:t>
      </w:r>
    </w:p>
    <w:p w14:paraId="477007B9">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12.4.3进度付款申请单的提交</w:t>
      </w:r>
    </w:p>
    <w:p w14:paraId="2D35AFD5">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（1）单价合同进度付款申请单提交的约定：</w:t>
      </w:r>
      <w:r>
        <w:rPr>
          <w:rFonts w:hint="eastAsia" w:ascii="宋体" w:hAnsi="宋体"/>
          <w:color w:val="auto"/>
          <w:sz w:val="24"/>
          <w:highlight w:val="none"/>
          <w:u w:val="single"/>
        </w:rPr>
        <w:t>承包人每月25日提交。</w:t>
      </w:r>
    </w:p>
    <w:p w14:paraId="4CC87AD0">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（2）总价合同进度付款申请单提交的约定：</w:t>
      </w:r>
      <w:r>
        <w:rPr>
          <w:rFonts w:hint="eastAsia" w:ascii="宋体" w:hAnsi="宋体"/>
          <w:color w:val="auto"/>
          <w:sz w:val="24"/>
          <w:highlight w:val="none"/>
          <w:u w:val="single"/>
        </w:rPr>
        <w:t>/。</w:t>
      </w:r>
    </w:p>
    <w:p w14:paraId="4DE81861">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（3）其他价格形式合同进度付款申请单提交的约定：</w:t>
      </w:r>
      <w:r>
        <w:rPr>
          <w:rFonts w:hint="eastAsia" w:ascii="宋体" w:hAnsi="宋体"/>
          <w:color w:val="auto"/>
          <w:sz w:val="24"/>
          <w:highlight w:val="none"/>
          <w:u w:val="single"/>
        </w:rPr>
        <w:t>/。</w:t>
      </w:r>
    </w:p>
    <w:p w14:paraId="665F056B">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12.4.4进度款审核和支付</w:t>
      </w:r>
    </w:p>
    <w:p w14:paraId="538F0190">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（1）监理人审查并报送发包人的期限：</w:t>
      </w:r>
      <w:r>
        <w:rPr>
          <w:rFonts w:hint="eastAsia" w:ascii="宋体" w:hAnsi="宋体"/>
          <w:color w:val="auto"/>
          <w:sz w:val="24"/>
          <w:highlight w:val="none"/>
          <w:u w:val="single"/>
        </w:rPr>
        <w:t>按通用合同条款。</w:t>
      </w:r>
    </w:p>
    <w:p w14:paraId="57DD101E">
      <w:pPr>
        <w:keepNext w:val="0"/>
        <w:keepLines w:val="0"/>
        <w:pageBreakBefore w:val="0"/>
        <w:kinsoku/>
        <w:wordWrap/>
        <w:overflowPunct/>
        <w:topLinePunct w:val="0"/>
        <w:autoSpaceDE/>
        <w:autoSpaceDN/>
        <w:bidi w:val="0"/>
        <w:spacing w:line="360" w:lineRule="auto"/>
        <w:rPr>
          <w:rFonts w:ascii="宋体" w:hAnsi="宋体"/>
          <w:color w:val="auto"/>
          <w:sz w:val="24"/>
          <w:highlight w:val="none"/>
        </w:rPr>
      </w:pPr>
      <w:r>
        <w:rPr>
          <w:rFonts w:hint="eastAsia" w:ascii="宋体" w:hAnsi="宋体"/>
          <w:color w:val="auto"/>
          <w:sz w:val="24"/>
          <w:highlight w:val="none"/>
        </w:rPr>
        <w:t>发包人完成审批并签发进度款支付证书的期限：</w:t>
      </w:r>
      <w:r>
        <w:rPr>
          <w:rFonts w:hint="eastAsia" w:ascii="宋体" w:hAnsi="宋体"/>
          <w:color w:val="auto"/>
          <w:sz w:val="24"/>
          <w:highlight w:val="none"/>
          <w:u w:val="single"/>
        </w:rPr>
        <w:t>按通用合同条款。</w:t>
      </w:r>
    </w:p>
    <w:p w14:paraId="4AA889A3">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（2）发包人支付进度款的期限：</w:t>
      </w:r>
      <w:r>
        <w:rPr>
          <w:rFonts w:hint="eastAsia" w:ascii="宋体" w:hAnsi="宋体"/>
          <w:color w:val="auto"/>
          <w:sz w:val="24"/>
          <w:highlight w:val="none"/>
          <w:u w:val="single"/>
        </w:rPr>
        <w:t>工程交付同时，需移交工程施工的全套资料，未按时移交的，付款可作同期顺延。每次付款均严格执行《江苏省工程建设领域农民工工资支付管理办法》（苏建建管【2016】707号）。施工过程中的增量、变更、签证等增加的各种费用施工期间不支付，待竣工结算时统一核算，结算完成后统一支付。发包人不支付未付款项的利息。发包人有权在进度款中扣除承包人违约金、罚款及其他应扣款项。月进度款审核以承包人投标清单为基础，承包人上报付款申请的工程量清单时不可对清单进行随意调整、删减、增加子目。承包人申报的进度款与发包人审批的进度款数额不一致的，以发包人审核为准，有争议的数额部分，整体工程审计后统一结算。承包人需在当月25日之前(或开工后另行约定时间)，上报付款申请，逾期未上报的，发包人可不予支付当月进度款。承包人工程进度或质量、安全无法满足发包人要求的，或付款申请上报不符合发包人约定时间的，发包人可延迟或取消支付当月进度款（累计计量工程款金额达到预付款金额之后开始支付进度款）。</w:t>
      </w:r>
    </w:p>
    <w:p w14:paraId="0ACF1C17">
      <w:pPr>
        <w:keepNext w:val="0"/>
        <w:keepLines w:val="0"/>
        <w:pageBreakBefore w:val="0"/>
        <w:kinsoku/>
        <w:wordWrap/>
        <w:overflowPunct/>
        <w:topLinePunct w:val="0"/>
        <w:autoSpaceDE/>
        <w:autoSpaceDN/>
        <w:bidi w:val="0"/>
        <w:spacing w:line="360" w:lineRule="auto"/>
        <w:rPr>
          <w:rFonts w:ascii="宋体" w:hAnsi="宋体"/>
          <w:color w:val="auto"/>
          <w:sz w:val="24"/>
          <w:highlight w:val="none"/>
        </w:rPr>
      </w:pPr>
      <w:r>
        <w:rPr>
          <w:rFonts w:hint="eastAsia" w:ascii="宋体" w:hAnsi="宋体"/>
          <w:color w:val="auto"/>
          <w:sz w:val="24"/>
          <w:highlight w:val="none"/>
        </w:rPr>
        <w:t>发包人逾期支付进度款的违约金的计算方式：</w:t>
      </w:r>
      <w:r>
        <w:rPr>
          <w:rFonts w:hint="eastAsia" w:ascii="宋体" w:hAnsi="宋体"/>
          <w:color w:val="auto"/>
          <w:sz w:val="24"/>
          <w:highlight w:val="none"/>
          <w:u w:val="single"/>
        </w:rPr>
        <w:t>不需要支付违约金。</w:t>
      </w:r>
    </w:p>
    <w:p w14:paraId="59872DE9">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12.4.6支付分解表的编制</w:t>
      </w:r>
    </w:p>
    <w:p w14:paraId="36558C01">
      <w:pPr>
        <w:keepNext w:val="0"/>
        <w:keepLines w:val="0"/>
        <w:pageBreakBefore w:val="0"/>
        <w:kinsoku/>
        <w:wordWrap/>
        <w:overflowPunct/>
        <w:topLinePunct w:val="0"/>
        <w:autoSpaceDE/>
        <w:autoSpaceDN/>
        <w:bidi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2、总价合同支付分解表的编制与审批：</w:t>
      </w:r>
      <w:r>
        <w:rPr>
          <w:rFonts w:hint="eastAsia" w:ascii="宋体" w:hAnsi="宋体"/>
          <w:color w:val="auto"/>
          <w:sz w:val="24"/>
          <w:highlight w:val="none"/>
          <w:u w:val="single"/>
        </w:rPr>
        <w:t>/。</w:t>
      </w:r>
    </w:p>
    <w:p w14:paraId="0CCE5FDA">
      <w:pPr>
        <w:keepNext w:val="0"/>
        <w:keepLines w:val="0"/>
        <w:pageBreakBefore w:val="0"/>
        <w:kinsoku/>
        <w:wordWrap/>
        <w:overflowPunct/>
        <w:topLinePunct w:val="0"/>
        <w:autoSpaceDE/>
        <w:autoSpaceDN/>
        <w:bidi w:val="0"/>
        <w:spacing w:line="360" w:lineRule="auto"/>
        <w:ind w:firstLine="480" w:firstLineChars="200"/>
        <w:rPr>
          <w:rFonts w:hint="eastAsia" w:ascii="宋体" w:hAnsi="宋体"/>
          <w:color w:val="auto"/>
          <w:sz w:val="24"/>
          <w:highlight w:val="none"/>
          <w:u w:val="single"/>
        </w:rPr>
      </w:pPr>
      <w:r>
        <w:rPr>
          <w:rFonts w:hint="eastAsia" w:ascii="宋体" w:hAnsi="宋体"/>
          <w:color w:val="auto"/>
          <w:sz w:val="24"/>
          <w:highlight w:val="none"/>
        </w:rPr>
        <w:t>3、单价合同的总价项目支付分解表的编制与审批：</w:t>
      </w:r>
      <w:r>
        <w:rPr>
          <w:rFonts w:hint="eastAsia" w:ascii="宋体" w:hAnsi="宋体"/>
          <w:color w:val="auto"/>
          <w:sz w:val="24"/>
          <w:highlight w:val="none"/>
          <w:u w:val="single"/>
        </w:rPr>
        <w:t>/。</w:t>
      </w:r>
    </w:p>
    <w:p w14:paraId="038ABE76">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0"/>
        <w:rPr>
          <w:rFonts w:hint="eastAsia" w:ascii="宋体" w:hAnsi="宋体" w:cs="宋体"/>
          <w:b/>
          <w:color w:val="auto"/>
          <w:sz w:val="24"/>
          <w:highlight w:val="none"/>
          <w:lang w:val="zh-CN"/>
        </w:rPr>
      </w:pPr>
      <w:bookmarkStart w:id="573" w:name="_Toc38747411"/>
      <w:r>
        <w:rPr>
          <w:rFonts w:hint="eastAsia" w:ascii="宋体" w:hAnsi="宋体" w:cs="宋体"/>
          <w:b/>
          <w:color w:val="auto"/>
          <w:sz w:val="24"/>
          <w:highlight w:val="none"/>
          <w:lang w:val="zh-CN"/>
        </w:rPr>
        <w:t>13.验收和工程试车</w:t>
      </w:r>
      <w:bookmarkEnd w:id="573"/>
    </w:p>
    <w:p w14:paraId="1FFA1AF4">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74" w:name="_Toc38747412"/>
      <w:r>
        <w:rPr>
          <w:rFonts w:hint="eastAsia" w:ascii="宋体" w:hAnsi="宋体" w:cs="宋体"/>
          <w:color w:val="auto"/>
          <w:sz w:val="24"/>
          <w:highlight w:val="none"/>
        </w:rPr>
        <w:t>13.1分部分项工程验收</w:t>
      </w:r>
      <w:bookmarkEnd w:id="574"/>
    </w:p>
    <w:p w14:paraId="16FEDFAD">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75" w:name="_Toc38747413"/>
      <w:r>
        <w:rPr>
          <w:rFonts w:hint="eastAsia" w:ascii="宋体" w:hAnsi="宋体" w:cs="宋体"/>
          <w:color w:val="auto"/>
          <w:sz w:val="24"/>
          <w:highlight w:val="none"/>
        </w:rPr>
        <w:t>13.1.2监理人不能按时进行验收时，应提前</w:t>
      </w:r>
      <w:r>
        <w:rPr>
          <w:rFonts w:hint="eastAsia" w:ascii="宋体" w:hAnsi="宋体" w:cs="宋体"/>
          <w:color w:val="auto"/>
          <w:sz w:val="24"/>
          <w:highlight w:val="none"/>
          <w:u w:val="single"/>
        </w:rPr>
        <w:t>24</w:t>
      </w:r>
      <w:r>
        <w:rPr>
          <w:rFonts w:hint="eastAsia" w:ascii="宋体" w:hAnsi="宋体" w:cs="宋体"/>
          <w:color w:val="auto"/>
          <w:sz w:val="24"/>
          <w:highlight w:val="none"/>
        </w:rPr>
        <w:t>小时提交书面延期要求。</w:t>
      </w:r>
      <w:bookmarkEnd w:id="575"/>
    </w:p>
    <w:p w14:paraId="50D1AFAA">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76" w:name="_Toc38747414"/>
      <w:r>
        <w:rPr>
          <w:rFonts w:hint="eastAsia" w:ascii="宋体" w:hAnsi="宋体" w:cs="宋体"/>
          <w:color w:val="auto"/>
          <w:sz w:val="24"/>
          <w:highlight w:val="none"/>
        </w:rPr>
        <w:t>关于延期最长不得超过：</w:t>
      </w:r>
      <w:r>
        <w:rPr>
          <w:rFonts w:hint="eastAsia" w:ascii="宋体" w:hAnsi="宋体" w:cs="宋体"/>
          <w:color w:val="auto"/>
          <w:sz w:val="24"/>
          <w:highlight w:val="none"/>
          <w:u w:val="single"/>
        </w:rPr>
        <w:t>48</w:t>
      </w:r>
      <w:r>
        <w:rPr>
          <w:rFonts w:hint="eastAsia" w:ascii="宋体" w:hAnsi="宋体" w:cs="宋体"/>
          <w:color w:val="auto"/>
          <w:sz w:val="24"/>
          <w:highlight w:val="none"/>
        </w:rPr>
        <w:t>小时。</w:t>
      </w:r>
      <w:bookmarkEnd w:id="576"/>
    </w:p>
    <w:p w14:paraId="265EB6C7">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77" w:name="_Toc38747415"/>
      <w:r>
        <w:rPr>
          <w:rFonts w:hint="eastAsia" w:ascii="宋体" w:hAnsi="宋体" w:cs="宋体"/>
          <w:color w:val="auto"/>
          <w:sz w:val="24"/>
          <w:highlight w:val="none"/>
        </w:rPr>
        <w:t>13.2竣工验收</w:t>
      </w:r>
      <w:bookmarkEnd w:id="577"/>
    </w:p>
    <w:p w14:paraId="216CE0C8">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78" w:name="_Toc38747416"/>
      <w:r>
        <w:rPr>
          <w:rFonts w:hint="eastAsia" w:ascii="宋体" w:hAnsi="宋体" w:cs="宋体"/>
          <w:color w:val="auto"/>
          <w:sz w:val="24"/>
          <w:highlight w:val="none"/>
        </w:rPr>
        <w:t>13.2.2竣工验收程序</w:t>
      </w:r>
      <w:bookmarkEnd w:id="578"/>
    </w:p>
    <w:p w14:paraId="741E2048">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u w:val="single"/>
        </w:rPr>
      </w:pPr>
      <w:bookmarkStart w:id="579" w:name="_Toc38747417"/>
      <w:r>
        <w:rPr>
          <w:rFonts w:hint="eastAsia" w:ascii="宋体" w:hAnsi="宋体" w:cs="宋体"/>
          <w:color w:val="auto"/>
          <w:sz w:val="24"/>
          <w:highlight w:val="none"/>
        </w:rPr>
        <w:t>关于竣工验收程序的约定：</w:t>
      </w:r>
      <w:bookmarkEnd w:id="579"/>
      <w:r>
        <w:rPr>
          <w:rFonts w:hint="eastAsia" w:ascii="宋体" w:hAnsi="宋体" w:cs="宋体"/>
          <w:color w:val="auto"/>
          <w:sz w:val="24"/>
          <w:highlight w:val="none"/>
          <w:u w:val="single"/>
        </w:rPr>
        <w:t>按通用条款执行。</w:t>
      </w:r>
    </w:p>
    <w:p w14:paraId="32510FE1">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r>
        <w:rPr>
          <w:rFonts w:hint="eastAsia" w:ascii="宋体" w:hAnsi="宋体" w:cs="宋体"/>
          <w:color w:val="auto"/>
          <w:sz w:val="24"/>
          <w:highlight w:val="none"/>
        </w:rPr>
        <w:t>13.2.5 移交、接收全部与部分工程</w:t>
      </w:r>
    </w:p>
    <w:p w14:paraId="207786D0">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r>
        <w:rPr>
          <w:rFonts w:hint="eastAsia" w:ascii="宋体" w:hAnsi="宋体" w:cs="宋体"/>
          <w:color w:val="auto"/>
          <w:sz w:val="24"/>
          <w:highlight w:val="none"/>
        </w:rPr>
        <w:t>承包人向发包人移交工程的期限：</w:t>
      </w:r>
      <w:r>
        <w:rPr>
          <w:rFonts w:hint="eastAsia" w:ascii="宋体" w:hAnsi="宋体" w:cs="宋体"/>
          <w:color w:val="auto"/>
          <w:sz w:val="24"/>
          <w:highlight w:val="none"/>
          <w:u w:val="single"/>
        </w:rPr>
        <w:t>颁发工程接收证书后7天内</w:t>
      </w:r>
      <w:r>
        <w:rPr>
          <w:rFonts w:hint="eastAsia" w:ascii="宋体" w:hAnsi="宋体" w:cs="宋体"/>
          <w:color w:val="auto"/>
          <w:sz w:val="24"/>
          <w:highlight w:val="none"/>
        </w:rPr>
        <w:t>。</w:t>
      </w:r>
    </w:p>
    <w:p w14:paraId="09791650">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r>
        <w:rPr>
          <w:rFonts w:hint="eastAsia" w:ascii="宋体" w:hAnsi="宋体" w:cs="宋体"/>
          <w:color w:val="auto"/>
          <w:sz w:val="24"/>
          <w:highlight w:val="none"/>
        </w:rPr>
        <w:t>发包人未按本合同约定接收全部或部分工程的，违约金的计算方法为：</w:t>
      </w:r>
      <w:r>
        <w:rPr>
          <w:rFonts w:hint="eastAsia" w:ascii="宋体" w:hAnsi="宋体" w:cs="宋体"/>
          <w:color w:val="auto"/>
          <w:sz w:val="24"/>
          <w:highlight w:val="none"/>
          <w:u w:val="single"/>
        </w:rPr>
        <w:t>\</w:t>
      </w:r>
    </w:p>
    <w:p w14:paraId="33870BCC">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u w:val="single"/>
        </w:rPr>
      </w:pPr>
      <w:r>
        <w:rPr>
          <w:rFonts w:hint="eastAsia" w:ascii="宋体" w:hAnsi="宋体" w:cs="宋体"/>
          <w:color w:val="auto"/>
          <w:sz w:val="24"/>
          <w:highlight w:val="none"/>
        </w:rPr>
        <w:t>承包人未按时移交工程的，违约金的计算方法为：</w:t>
      </w:r>
      <w:r>
        <w:rPr>
          <w:rFonts w:hint="eastAsia" w:ascii="宋体" w:hAnsi="宋体" w:cs="宋体"/>
          <w:color w:val="auto"/>
          <w:sz w:val="24"/>
          <w:highlight w:val="none"/>
          <w:u w:val="single"/>
        </w:rPr>
        <w:t>每拖延一天，按合同价的万分之八/天支付给发包人违约金</w:t>
      </w:r>
      <w:r>
        <w:rPr>
          <w:rFonts w:hint="eastAsia" w:ascii="宋体" w:hAnsi="宋体" w:cs="宋体"/>
          <w:color w:val="auto"/>
          <w:sz w:val="24"/>
          <w:highlight w:val="none"/>
        </w:rPr>
        <w:t>。</w:t>
      </w:r>
    </w:p>
    <w:p w14:paraId="00BBF583">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80" w:name="_Toc38747418"/>
      <w:r>
        <w:rPr>
          <w:rFonts w:hint="eastAsia" w:ascii="宋体" w:hAnsi="宋体" w:cs="宋体"/>
          <w:color w:val="auto"/>
          <w:sz w:val="24"/>
          <w:highlight w:val="none"/>
        </w:rPr>
        <w:t>13.3工程试车</w:t>
      </w:r>
      <w:bookmarkEnd w:id="580"/>
    </w:p>
    <w:p w14:paraId="0B62FDEF">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81" w:name="_Toc38747419"/>
      <w:r>
        <w:rPr>
          <w:rFonts w:hint="eastAsia" w:ascii="宋体" w:hAnsi="宋体" w:cs="宋体"/>
          <w:color w:val="auto"/>
          <w:sz w:val="24"/>
          <w:highlight w:val="none"/>
        </w:rPr>
        <w:t>13.3.1试车程序</w:t>
      </w:r>
      <w:bookmarkEnd w:id="581"/>
    </w:p>
    <w:p w14:paraId="57B5A6DB">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82" w:name="_Toc38747420"/>
      <w:r>
        <w:rPr>
          <w:rFonts w:hint="eastAsia" w:ascii="宋体" w:hAnsi="宋体" w:cs="宋体"/>
          <w:color w:val="auto"/>
          <w:sz w:val="24"/>
          <w:highlight w:val="none"/>
        </w:rPr>
        <w:t>工程试车内容：</w:t>
      </w:r>
      <w:r>
        <w:rPr>
          <w:rFonts w:hint="eastAsia" w:ascii="宋体" w:hAnsi="宋体" w:cs="宋体"/>
          <w:color w:val="auto"/>
          <w:sz w:val="24"/>
          <w:highlight w:val="none"/>
          <w:u w:val="single"/>
        </w:rPr>
        <w:t>/。</w:t>
      </w:r>
      <w:bookmarkEnd w:id="582"/>
    </w:p>
    <w:p w14:paraId="43DD44C4">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83" w:name="_Toc38747421"/>
      <w:r>
        <w:rPr>
          <w:rFonts w:hint="eastAsia" w:ascii="宋体" w:hAnsi="宋体" w:cs="宋体"/>
          <w:color w:val="auto"/>
          <w:sz w:val="24"/>
          <w:highlight w:val="none"/>
        </w:rPr>
        <w:t>（1）单机无负荷试车费用由</w:t>
      </w:r>
      <w:r>
        <w:rPr>
          <w:rFonts w:hint="eastAsia" w:ascii="宋体" w:hAnsi="宋体" w:cs="宋体"/>
          <w:color w:val="auto"/>
          <w:sz w:val="24"/>
          <w:highlight w:val="none"/>
          <w:u w:val="single"/>
        </w:rPr>
        <w:t>承包人</w:t>
      </w:r>
      <w:r>
        <w:rPr>
          <w:rFonts w:hint="eastAsia" w:ascii="宋体" w:hAnsi="宋体" w:cs="宋体"/>
          <w:color w:val="auto"/>
          <w:sz w:val="24"/>
          <w:highlight w:val="none"/>
        </w:rPr>
        <w:t>承担；</w:t>
      </w:r>
      <w:bookmarkEnd w:id="583"/>
    </w:p>
    <w:p w14:paraId="32E8111F">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84" w:name="_Toc38747422"/>
      <w:r>
        <w:rPr>
          <w:rFonts w:hint="eastAsia" w:ascii="宋体" w:hAnsi="宋体" w:cs="宋体"/>
          <w:color w:val="auto"/>
          <w:sz w:val="24"/>
          <w:highlight w:val="none"/>
        </w:rPr>
        <w:t>（2）无负荷联动试车费用由</w:t>
      </w:r>
      <w:r>
        <w:rPr>
          <w:rFonts w:hint="eastAsia" w:ascii="宋体" w:hAnsi="宋体" w:cs="宋体"/>
          <w:color w:val="auto"/>
          <w:sz w:val="24"/>
          <w:highlight w:val="none"/>
          <w:u w:val="single"/>
        </w:rPr>
        <w:t>承包人</w:t>
      </w:r>
      <w:r>
        <w:rPr>
          <w:rFonts w:hint="eastAsia" w:ascii="宋体" w:hAnsi="宋体" w:cs="宋体"/>
          <w:color w:val="auto"/>
          <w:sz w:val="24"/>
          <w:highlight w:val="none"/>
        </w:rPr>
        <w:t>承担。</w:t>
      </w:r>
      <w:bookmarkEnd w:id="584"/>
    </w:p>
    <w:p w14:paraId="039C01D9">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85" w:name="_Toc38747423"/>
      <w:r>
        <w:rPr>
          <w:rFonts w:hint="eastAsia" w:ascii="宋体" w:hAnsi="宋体" w:cs="宋体"/>
          <w:color w:val="auto"/>
          <w:sz w:val="24"/>
          <w:highlight w:val="none"/>
        </w:rPr>
        <w:t>13.3.3投料试车</w:t>
      </w:r>
      <w:bookmarkEnd w:id="585"/>
    </w:p>
    <w:p w14:paraId="23B0D7AD">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86" w:name="_Toc38747424"/>
      <w:r>
        <w:rPr>
          <w:rFonts w:hint="eastAsia" w:ascii="宋体" w:hAnsi="宋体" w:cs="宋体"/>
          <w:color w:val="auto"/>
          <w:sz w:val="24"/>
          <w:highlight w:val="none"/>
        </w:rPr>
        <w:t>关于投料试车相关事项的约定：</w:t>
      </w:r>
      <w:r>
        <w:rPr>
          <w:rFonts w:hint="eastAsia" w:ascii="宋体" w:hAnsi="宋体" w:cs="宋体"/>
          <w:color w:val="auto"/>
          <w:sz w:val="24"/>
          <w:highlight w:val="none"/>
          <w:u w:val="single"/>
        </w:rPr>
        <w:t>按通用条款执行。</w:t>
      </w:r>
      <w:bookmarkEnd w:id="586"/>
    </w:p>
    <w:p w14:paraId="5DD1B7F8">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87" w:name="_Toc38747425"/>
      <w:r>
        <w:rPr>
          <w:rFonts w:hint="eastAsia" w:ascii="宋体" w:hAnsi="宋体" w:cs="宋体"/>
          <w:color w:val="auto"/>
          <w:sz w:val="24"/>
          <w:highlight w:val="none"/>
        </w:rPr>
        <w:t>13.6竣工退场</w:t>
      </w:r>
      <w:bookmarkEnd w:id="587"/>
    </w:p>
    <w:p w14:paraId="16759180">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88" w:name="_Toc38747426"/>
      <w:r>
        <w:rPr>
          <w:rFonts w:hint="eastAsia" w:ascii="宋体" w:hAnsi="宋体" w:cs="宋体"/>
          <w:color w:val="auto"/>
          <w:sz w:val="24"/>
          <w:highlight w:val="none"/>
        </w:rPr>
        <w:t>13.6.1竣工退场</w:t>
      </w:r>
      <w:bookmarkEnd w:id="588"/>
    </w:p>
    <w:p w14:paraId="49B7F5DE">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89" w:name="_Toc38747427"/>
      <w:r>
        <w:rPr>
          <w:rFonts w:hint="eastAsia" w:ascii="宋体" w:hAnsi="宋体" w:cs="宋体"/>
          <w:color w:val="auto"/>
          <w:sz w:val="24"/>
          <w:highlight w:val="none"/>
        </w:rPr>
        <w:t>承包人完成竣工退场的期限：</w:t>
      </w:r>
      <w:r>
        <w:rPr>
          <w:rFonts w:hint="eastAsia" w:ascii="宋体" w:hAnsi="宋体" w:cs="宋体"/>
          <w:color w:val="auto"/>
          <w:sz w:val="24"/>
          <w:highlight w:val="none"/>
          <w:u w:val="single"/>
        </w:rPr>
        <w:t>14天内（场地清理按通用条款）。</w:t>
      </w:r>
      <w:bookmarkEnd w:id="589"/>
    </w:p>
    <w:p w14:paraId="06ECEC28">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0"/>
        <w:rPr>
          <w:rFonts w:hint="eastAsia" w:ascii="宋体" w:hAnsi="宋体" w:cs="宋体"/>
          <w:b/>
          <w:color w:val="auto"/>
          <w:sz w:val="24"/>
          <w:highlight w:val="none"/>
        </w:rPr>
      </w:pPr>
      <w:bookmarkStart w:id="590" w:name="_Toc38747428"/>
      <w:r>
        <w:rPr>
          <w:rFonts w:hint="eastAsia" w:ascii="宋体" w:hAnsi="宋体" w:cs="宋体"/>
          <w:b/>
          <w:color w:val="auto"/>
          <w:sz w:val="24"/>
          <w:highlight w:val="none"/>
        </w:rPr>
        <w:t>14.竣工结算</w:t>
      </w:r>
      <w:bookmarkEnd w:id="590"/>
    </w:p>
    <w:p w14:paraId="084D2DEE">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91" w:name="_Toc38747429"/>
      <w:r>
        <w:rPr>
          <w:rFonts w:hint="eastAsia" w:ascii="宋体" w:hAnsi="宋体" w:cs="宋体"/>
          <w:color w:val="auto"/>
          <w:sz w:val="24"/>
          <w:highlight w:val="none"/>
        </w:rPr>
        <w:t>14.1 竣工付款申请</w:t>
      </w:r>
      <w:bookmarkEnd w:id="591"/>
    </w:p>
    <w:p w14:paraId="7459DE80">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92" w:name="_Toc38747430"/>
      <w:r>
        <w:rPr>
          <w:rFonts w:hint="eastAsia" w:ascii="宋体" w:hAnsi="宋体" w:cs="宋体"/>
          <w:color w:val="auto"/>
          <w:sz w:val="24"/>
          <w:highlight w:val="none"/>
        </w:rPr>
        <w:t>承包人提交竣工付款申请单的期限：</w:t>
      </w:r>
      <w:r>
        <w:rPr>
          <w:rFonts w:hint="eastAsia" w:ascii="宋体" w:hAnsi="宋体" w:cs="宋体"/>
          <w:color w:val="auto"/>
          <w:sz w:val="24"/>
          <w:highlight w:val="none"/>
          <w:u w:val="single"/>
        </w:rPr>
        <w:t xml:space="preserve"> 通过工程交（竣）工验收30天内    </w:t>
      </w:r>
      <w:r>
        <w:rPr>
          <w:rFonts w:hint="eastAsia" w:ascii="宋体" w:hAnsi="宋体" w:cs="宋体"/>
          <w:color w:val="auto"/>
          <w:sz w:val="24"/>
          <w:highlight w:val="none"/>
        </w:rPr>
        <w:t>。</w:t>
      </w:r>
      <w:bookmarkEnd w:id="592"/>
    </w:p>
    <w:p w14:paraId="1352E0E8">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93" w:name="_Toc38747431"/>
      <w:r>
        <w:rPr>
          <w:rFonts w:hint="eastAsia" w:ascii="宋体" w:hAnsi="宋体" w:cs="宋体"/>
          <w:color w:val="auto"/>
          <w:sz w:val="24"/>
          <w:highlight w:val="none"/>
        </w:rPr>
        <w:t>竣工付款申请单应包括的内容：</w:t>
      </w:r>
      <w:r>
        <w:rPr>
          <w:rFonts w:hint="eastAsia" w:ascii="宋体" w:hAnsi="宋体" w:cs="宋体"/>
          <w:color w:val="auto"/>
          <w:sz w:val="24"/>
          <w:highlight w:val="none"/>
          <w:u w:val="single"/>
        </w:rPr>
        <w:t xml:space="preserve">按通用合同条款 </w:t>
      </w:r>
      <w:r>
        <w:rPr>
          <w:rFonts w:hint="eastAsia" w:ascii="宋体" w:hAnsi="宋体" w:cs="宋体"/>
          <w:color w:val="auto"/>
          <w:sz w:val="24"/>
          <w:highlight w:val="none"/>
        </w:rPr>
        <w:t>。</w:t>
      </w:r>
      <w:bookmarkEnd w:id="593"/>
    </w:p>
    <w:p w14:paraId="57782153">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94" w:name="_Toc38747432"/>
      <w:r>
        <w:rPr>
          <w:rFonts w:hint="eastAsia" w:ascii="宋体" w:hAnsi="宋体" w:cs="宋体"/>
          <w:color w:val="auto"/>
          <w:sz w:val="24"/>
          <w:highlight w:val="none"/>
        </w:rPr>
        <w:t>14.2 竣工结算审核</w:t>
      </w:r>
      <w:bookmarkEnd w:id="594"/>
    </w:p>
    <w:p w14:paraId="7F5661B9">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95" w:name="_Toc38747433"/>
      <w:r>
        <w:rPr>
          <w:rFonts w:hint="eastAsia" w:ascii="宋体" w:hAnsi="宋体" w:cs="宋体"/>
          <w:color w:val="auto"/>
          <w:sz w:val="24"/>
          <w:highlight w:val="none"/>
        </w:rPr>
        <w:t>发包人审批竣工付款申请单的期限：</w:t>
      </w:r>
      <w:r>
        <w:rPr>
          <w:rFonts w:hint="eastAsia" w:ascii="宋体" w:hAnsi="宋体" w:cs="宋体"/>
          <w:color w:val="auto"/>
          <w:kern w:val="0"/>
          <w:sz w:val="24"/>
          <w:highlight w:val="none"/>
          <w:u w:val="single"/>
          <w:lang w:bidi="ar"/>
        </w:rPr>
        <w:t>按通用合同条款</w:t>
      </w:r>
      <w:r>
        <w:rPr>
          <w:rFonts w:hint="eastAsia" w:ascii="宋体" w:hAnsi="宋体" w:cs="宋体"/>
          <w:color w:val="auto"/>
          <w:sz w:val="24"/>
          <w:highlight w:val="none"/>
        </w:rPr>
        <w:t>。</w:t>
      </w:r>
      <w:bookmarkEnd w:id="595"/>
    </w:p>
    <w:p w14:paraId="2825F77F">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96" w:name="_Toc38747434"/>
      <w:r>
        <w:rPr>
          <w:rFonts w:hint="eastAsia" w:ascii="宋体" w:hAnsi="宋体" w:cs="宋体"/>
          <w:color w:val="auto"/>
          <w:sz w:val="24"/>
          <w:highlight w:val="none"/>
        </w:rPr>
        <w:t>发包人完成竣工付款的期限：</w:t>
      </w:r>
      <w:r>
        <w:rPr>
          <w:rFonts w:hint="eastAsia" w:ascii="宋体" w:hAnsi="宋体" w:cs="宋体"/>
          <w:color w:val="auto"/>
          <w:sz w:val="24"/>
          <w:highlight w:val="none"/>
          <w:u w:val="single"/>
        </w:rPr>
        <w:t xml:space="preserve">按专用合同条款第12.4.1条付款周期约定 </w:t>
      </w:r>
      <w:r>
        <w:rPr>
          <w:rFonts w:hint="eastAsia" w:ascii="宋体" w:hAnsi="宋体" w:cs="宋体"/>
          <w:color w:val="auto"/>
          <w:sz w:val="24"/>
          <w:highlight w:val="none"/>
        </w:rPr>
        <w:t>。</w:t>
      </w:r>
      <w:bookmarkEnd w:id="596"/>
    </w:p>
    <w:p w14:paraId="36D1E25A">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97" w:name="_Toc38747435"/>
      <w:r>
        <w:rPr>
          <w:rFonts w:hint="eastAsia" w:ascii="宋体" w:hAnsi="宋体" w:cs="宋体"/>
          <w:color w:val="auto"/>
          <w:sz w:val="24"/>
          <w:highlight w:val="none"/>
        </w:rPr>
        <w:t>关于竣工付款证书异议部分复核的方式和程序：</w:t>
      </w:r>
      <w:r>
        <w:rPr>
          <w:rFonts w:hint="eastAsia" w:ascii="宋体" w:hAnsi="宋体" w:cs="宋体"/>
          <w:color w:val="auto"/>
          <w:sz w:val="24"/>
          <w:highlight w:val="none"/>
          <w:u w:val="single"/>
        </w:rPr>
        <w:t xml:space="preserve">  按通用合同条款  </w:t>
      </w:r>
      <w:r>
        <w:rPr>
          <w:rFonts w:hint="eastAsia" w:ascii="宋体" w:hAnsi="宋体" w:cs="宋体"/>
          <w:color w:val="auto"/>
          <w:sz w:val="24"/>
          <w:highlight w:val="none"/>
        </w:rPr>
        <w:t>。</w:t>
      </w:r>
      <w:bookmarkEnd w:id="597"/>
    </w:p>
    <w:p w14:paraId="13B7ABD1">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r>
        <w:rPr>
          <w:rFonts w:hint="eastAsia" w:ascii="宋体" w:hAnsi="宋体" w:cs="宋体"/>
          <w:color w:val="auto"/>
          <w:sz w:val="24"/>
          <w:highlight w:val="none"/>
        </w:rPr>
        <w:t>14.3工程审计</w:t>
      </w:r>
    </w:p>
    <w:p w14:paraId="5FE45C8B">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olor w:val="auto"/>
          <w:sz w:val="24"/>
          <w:highlight w:val="none"/>
          <w:u w:val="single"/>
        </w:rPr>
      </w:pPr>
      <w:bookmarkStart w:id="598" w:name="_Toc38747438"/>
      <w:r>
        <w:rPr>
          <w:rFonts w:hint="eastAsia" w:ascii="宋体" w:hAnsi="宋体"/>
          <w:color w:val="auto"/>
          <w:sz w:val="24"/>
          <w:highlight w:val="none"/>
          <w:u w:val="single"/>
        </w:rPr>
        <w:t>审减率小于等于5%，审计费由甲方承担，审减率大于5%而小于等于10%，审计费甲乙各半负担，审减率大于10%，审计费由乙方承担。审减率大于等于25%，审计费全部由乙方承担，并按审定价的2%对乙方进行处罚。上述应由乙方承担的审计费由乙方直接支付给甲方委托的审计公司，处罚的费用在工程审定价内扣除。</w:t>
      </w:r>
    </w:p>
    <w:p w14:paraId="3454EBE3">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r>
        <w:rPr>
          <w:rFonts w:hint="eastAsia" w:ascii="宋体" w:hAnsi="宋体" w:cs="宋体"/>
          <w:color w:val="auto"/>
          <w:sz w:val="24"/>
          <w:highlight w:val="none"/>
        </w:rPr>
        <w:t>14.4 最终结清</w:t>
      </w:r>
      <w:bookmarkEnd w:id="598"/>
    </w:p>
    <w:p w14:paraId="2D22D979">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599" w:name="_Toc38747439"/>
      <w:r>
        <w:rPr>
          <w:rFonts w:hint="eastAsia" w:ascii="宋体" w:hAnsi="宋体" w:cs="宋体"/>
          <w:color w:val="auto"/>
          <w:sz w:val="24"/>
          <w:highlight w:val="none"/>
        </w:rPr>
        <w:t>14.4.1 最终结清申请单</w:t>
      </w:r>
      <w:bookmarkEnd w:id="599"/>
    </w:p>
    <w:p w14:paraId="32E13121">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00" w:name="_Toc38747440"/>
      <w:r>
        <w:rPr>
          <w:rFonts w:hint="eastAsia" w:ascii="宋体" w:hAnsi="宋体" w:cs="宋体"/>
          <w:color w:val="auto"/>
          <w:sz w:val="24"/>
          <w:highlight w:val="none"/>
        </w:rPr>
        <w:t>承包人提交最终结清申请单的份数：</w:t>
      </w:r>
      <w:r>
        <w:rPr>
          <w:rFonts w:hint="eastAsia" w:ascii="宋体" w:hAnsi="宋体" w:cs="宋体"/>
          <w:color w:val="auto"/>
          <w:sz w:val="24"/>
          <w:highlight w:val="none"/>
          <w:u w:val="single"/>
        </w:rPr>
        <w:t xml:space="preserve">       6份           </w:t>
      </w:r>
      <w:r>
        <w:rPr>
          <w:rFonts w:hint="eastAsia" w:ascii="宋体" w:hAnsi="宋体" w:cs="宋体"/>
          <w:color w:val="auto"/>
          <w:sz w:val="24"/>
          <w:highlight w:val="none"/>
        </w:rPr>
        <w:t>。</w:t>
      </w:r>
      <w:bookmarkEnd w:id="600"/>
    </w:p>
    <w:p w14:paraId="1A502E21">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01" w:name="_Toc38747441"/>
      <w:r>
        <w:rPr>
          <w:rFonts w:hint="eastAsia" w:ascii="宋体" w:hAnsi="宋体" w:cs="宋体"/>
          <w:color w:val="auto"/>
          <w:sz w:val="24"/>
          <w:highlight w:val="none"/>
        </w:rPr>
        <w:t>承包人提交最终结算申请单的期限：</w:t>
      </w:r>
      <w:r>
        <w:rPr>
          <w:rFonts w:hint="eastAsia" w:ascii="宋体" w:hAnsi="宋体" w:cs="宋体"/>
          <w:color w:val="auto"/>
          <w:sz w:val="24"/>
          <w:highlight w:val="none"/>
          <w:u w:val="single"/>
        </w:rPr>
        <w:t xml:space="preserve">   按通用合同条款     </w:t>
      </w:r>
      <w:r>
        <w:rPr>
          <w:rFonts w:hint="eastAsia" w:ascii="宋体" w:hAnsi="宋体" w:cs="宋体"/>
          <w:color w:val="auto"/>
          <w:sz w:val="24"/>
          <w:highlight w:val="none"/>
        </w:rPr>
        <w:t>。</w:t>
      </w:r>
      <w:bookmarkEnd w:id="601"/>
      <w:r>
        <w:rPr>
          <w:rFonts w:hint="eastAsia" w:ascii="宋体" w:hAnsi="宋体" w:cs="宋体"/>
          <w:color w:val="auto"/>
          <w:sz w:val="24"/>
          <w:highlight w:val="none"/>
        </w:rPr>
        <w:t xml:space="preserve"> </w:t>
      </w:r>
    </w:p>
    <w:p w14:paraId="6D998AC0">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02" w:name="_Toc38747442"/>
      <w:r>
        <w:rPr>
          <w:rFonts w:hint="eastAsia" w:ascii="宋体" w:hAnsi="宋体" w:cs="宋体"/>
          <w:color w:val="auto"/>
          <w:sz w:val="24"/>
          <w:highlight w:val="none"/>
        </w:rPr>
        <w:t>14.4.2 最终结清证书和支付</w:t>
      </w:r>
      <w:bookmarkEnd w:id="602"/>
    </w:p>
    <w:p w14:paraId="439B5740">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03" w:name="_Toc38747443"/>
      <w:r>
        <w:rPr>
          <w:rFonts w:hint="eastAsia" w:ascii="宋体" w:hAnsi="宋体" w:cs="宋体"/>
          <w:color w:val="auto"/>
          <w:sz w:val="24"/>
          <w:highlight w:val="none"/>
        </w:rPr>
        <w:t>（1）发包人完成最终结清申请单的审批并颁发最终结清证书的期限：</w:t>
      </w:r>
      <w:r>
        <w:rPr>
          <w:rFonts w:hint="eastAsia" w:ascii="宋体" w:hAnsi="宋体" w:cs="宋体"/>
          <w:color w:val="auto"/>
          <w:sz w:val="24"/>
          <w:highlight w:val="none"/>
          <w:u w:val="single"/>
        </w:rPr>
        <w:t xml:space="preserve">   按通用合同条款  </w:t>
      </w:r>
      <w:r>
        <w:rPr>
          <w:rFonts w:hint="eastAsia" w:ascii="宋体" w:hAnsi="宋体" w:cs="宋体"/>
          <w:color w:val="auto"/>
          <w:sz w:val="24"/>
          <w:highlight w:val="none"/>
        </w:rPr>
        <w:t>。</w:t>
      </w:r>
      <w:bookmarkEnd w:id="603"/>
    </w:p>
    <w:p w14:paraId="3180E406">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04" w:name="_Toc38747444"/>
      <w:r>
        <w:rPr>
          <w:rFonts w:hint="eastAsia" w:ascii="宋体" w:hAnsi="宋体" w:cs="宋体"/>
          <w:color w:val="auto"/>
          <w:sz w:val="24"/>
          <w:highlight w:val="none"/>
        </w:rPr>
        <w:t>（2）发包人完成支付的期限：</w:t>
      </w:r>
      <w:r>
        <w:rPr>
          <w:rFonts w:hint="eastAsia" w:ascii="宋体" w:hAnsi="宋体" w:cs="宋体"/>
          <w:color w:val="auto"/>
          <w:sz w:val="24"/>
          <w:highlight w:val="none"/>
          <w:u w:val="single"/>
        </w:rPr>
        <w:t xml:space="preserve">  按通用合同条款   </w:t>
      </w:r>
      <w:r>
        <w:rPr>
          <w:rFonts w:hint="eastAsia" w:ascii="宋体" w:hAnsi="宋体" w:cs="宋体"/>
          <w:color w:val="auto"/>
          <w:sz w:val="24"/>
          <w:highlight w:val="none"/>
        </w:rPr>
        <w:t>。</w:t>
      </w:r>
      <w:bookmarkEnd w:id="604"/>
    </w:p>
    <w:p w14:paraId="2F4DDCA0">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0"/>
        <w:rPr>
          <w:rFonts w:hint="eastAsia" w:ascii="宋体" w:hAnsi="宋体" w:cs="宋体"/>
          <w:b/>
          <w:color w:val="auto"/>
          <w:sz w:val="24"/>
          <w:highlight w:val="none"/>
        </w:rPr>
      </w:pPr>
      <w:bookmarkStart w:id="605" w:name="_Toc38747445"/>
      <w:bookmarkStart w:id="606" w:name="_Toc351203647"/>
      <w:bookmarkStart w:id="607" w:name="_Toc267251483"/>
      <w:bookmarkStart w:id="608" w:name="_Toc267251484"/>
      <w:bookmarkStart w:id="609" w:name="_Toc267251482"/>
      <w:bookmarkStart w:id="610" w:name="_Toc267251485"/>
      <w:bookmarkStart w:id="611" w:name="_Toc267251488"/>
      <w:bookmarkStart w:id="612" w:name="_Toc267251490"/>
      <w:bookmarkStart w:id="613" w:name="_Toc267251486"/>
      <w:bookmarkStart w:id="614" w:name="_Toc267251489"/>
      <w:bookmarkStart w:id="615" w:name="_Toc267251494"/>
      <w:bookmarkStart w:id="616" w:name="_Toc267251503"/>
      <w:bookmarkStart w:id="617" w:name="_Toc267251501"/>
      <w:bookmarkStart w:id="618" w:name="_Toc267251498"/>
      <w:bookmarkStart w:id="619" w:name="_Toc267251499"/>
      <w:bookmarkStart w:id="620" w:name="_Toc267251497"/>
      <w:bookmarkStart w:id="621" w:name="_Toc267251491"/>
      <w:bookmarkStart w:id="622" w:name="_Toc267251493"/>
      <w:bookmarkStart w:id="623" w:name="_Toc267251492"/>
      <w:bookmarkStart w:id="624" w:name="_Toc267251502"/>
      <w:bookmarkStart w:id="625" w:name="_Toc267251496"/>
      <w:bookmarkStart w:id="626" w:name="_Toc267251495"/>
      <w:bookmarkStart w:id="627" w:name="_Toc267251507"/>
      <w:bookmarkStart w:id="628" w:name="_Toc267251515"/>
      <w:bookmarkStart w:id="629" w:name="_Toc267251509"/>
      <w:bookmarkStart w:id="630" w:name="_Toc267251508"/>
      <w:bookmarkStart w:id="631" w:name="_Toc267251504"/>
      <w:bookmarkStart w:id="632" w:name="_Toc267251513"/>
      <w:bookmarkStart w:id="633" w:name="_Toc267251511"/>
      <w:bookmarkStart w:id="634" w:name="_Toc267251514"/>
      <w:bookmarkStart w:id="635" w:name="_Toc267251510"/>
      <w:bookmarkStart w:id="636" w:name="_Toc267251506"/>
      <w:r>
        <w:rPr>
          <w:rFonts w:hint="eastAsia" w:ascii="宋体" w:hAnsi="宋体" w:cs="宋体"/>
          <w:b/>
          <w:color w:val="auto"/>
          <w:sz w:val="24"/>
          <w:highlight w:val="none"/>
        </w:rPr>
        <w:t>15. 缺陷责任期与保修</w:t>
      </w:r>
      <w:bookmarkEnd w:id="605"/>
      <w:bookmarkEnd w:id="606"/>
    </w:p>
    <w:p w14:paraId="36FFB9A5">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37" w:name="_Toc38747446"/>
      <w:r>
        <w:rPr>
          <w:rFonts w:hint="eastAsia" w:ascii="宋体" w:hAnsi="宋体" w:cs="宋体"/>
          <w:color w:val="auto"/>
          <w:sz w:val="24"/>
          <w:highlight w:val="none"/>
        </w:rPr>
        <w:t>15.2缺陷责任期</w:t>
      </w:r>
      <w:bookmarkEnd w:id="607"/>
      <w:bookmarkEnd w:id="637"/>
    </w:p>
    <w:p w14:paraId="36D5CD10">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38" w:name="_Toc38747447"/>
      <w:r>
        <w:rPr>
          <w:rFonts w:hint="eastAsia" w:ascii="宋体" w:hAnsi="宋体" w:cs="宋体"/>
          <w:color w:val="auto"/>
          <w:sz w:val="24"/>
          <w:highlight w:val="none"/>
        </w:rPr>
        <w:t>缺陷责任期的具体期限：</w:t>
      </w:r>
      <w:r>
        <w:rPr>
          <w:rFonts w:hint="eastAsia" w:ascii="宋体" w:hAnsi="宋体" w:cs="宋体"/>
          <w:color w:val="auto"/>
          <w:sz w:val="24"/>
          <w:highlight w:val="none"/>
          <w:u w:val="single"/>
        </w:rPr>
        <w:t xml:space="preserve">    24个月         </w:t>
      </w:r>
      <w:r>
        <w:rPr>
          <w:rFonts w:hint="eastAsia" w:ascii="宋体" w:hAnsi="宋体" w:cs="宋体"/>
          <w:color w:val="auto"/>
          <w:sz w:val="24"/>
          <w:highlight w:val="none"/>
        </w:rPr>
        <w:t>。</w:t>
      </w:r>
      <w:bookmarkEnd w:id="638"/>
    </w:p>
    <w:p w14:paraId="52518445">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39" w:name="_Toc38747448"/>
      <w:r>
        <w:rPr>
          <w:rFonts w:hint="eastAsia" w:ascii="宋体" w:hAnsi="宋体" w:cs="宋体"/>
          <w:color w:val="auto"/>
          <w:sz w:val="24"/>
          <w:highlight w:val="none"/>
        </w:rPr>
        <w:t>15.3 质量保证金</w:t>
      </w:r>
      <w:bookmarkEnd w:id="639"/>
    </w:p>
    <w:p w14:paraId="797B3E5F">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40" w:name="_Toc38747449"/>
      <w:r>
        <w:rPr>
          <w:rFonts w:hint="eastAsia" w:ascii="宋体" w:hAnsi="宋体" w:cs="宋体"/>
          <w:color w:val="auto"/>
          <w:sz w:val="24"/>
          <w:highlight w:val="none"/>
        </w:rPr>
        <w:t>关于是否扣留质量保证金的约定：</w:t>
      </w:r>
      <w:r>
        <w:rPr>
          <w:rFonts w:hint="eastAsia" w:ascii="宋体" w:hAnsi="宋体" w:cs="宋体"/>
          <w:color w:val="auto"/>
          <w:sz w:val="24"/>
          <w:highlight w:val="none"/>
          <w:u w:val="single"/>
        </w:rPr>
        <w:t xml:space="preserve">   是   </w:t>
      </w:r>
      <w:r>
        <w:rPr>
          <w:rFonts w:hint="eastAsia" w:ascii="宋体" w:hAnsi="宋体" w:cs="宋体"/>
          <w:color w:val="auto"/>
          <w:sz w:val="24"/>
          <w:highlight w:val="none"/>
        </w:rPr>
        <w:t>。</w:t>
      </w:r>
      <w:bookmarkEnd w:id="640"/>
    </w:p>
    <w:p w14:paraId="2FAF9906">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41" w:name="_Toc38747450"/>
      <w:r>
        <w:rPr>
          <w:rFonts w:hint="eastAsia" w:ascii="宋体" w:hAnsi="宋体" w:cs="宋体"/>
          <w:color w:val="auto"/>
          <w:sz w:val="24"/>
          <w:highlight w:val="none"/>
        </w:rPr>
        <w:t>15.3.1 承包人提供质量保证金的方式</w:t>
      </w:r>
      <w:bookmarkEnd w:id="641"/>
    </w:p>
    <w:p w14:paraId="0FC47BB8">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42" w:name="_Toc38747451"/>
      <w:r>
        <w:rPr>
          <w:rFonts w:hint="eastAsia" w:ascii="宋体" w:hAnsi="宋体" w:cs="宋体"/>
          <w:color w:val="auto"/>
          <w:sz w:val="24"/>
          <w:highlight w:val="none"/>
        </w:rPr>
        <w:t>质量保证金采用以下第</w:t>
      </w:r>
      <w:r>
        <w:rPr>
          <w:rFonts w:hint="eastAsia" w:ascii="宋体" w:hAnsi="宋体" w:cs="宋体"/>
          <w:color w:val="auto"/>
          <w:sz w:val="24"/>
          <w:highlight w:val="none"/>
          <w:u w:val="single"/>
        </w:rPr>
        <w:t xml:space="preserve">   (3)  </w:t>
      </w:r>
      <w:r>
        <w:rPr>
          <w:rFonts w:hint="eastAsia" w:ascii="宋体" w:hAnsi="宋体" w:cs="宋体"/>
          <w:color w:val="auto"/>
          <w:sz w:val="24"/>
          <w:highlight w:val="none"/>
        </w:rPr>
        <w:t>种方式：</w:t>
      </w:r>
      <w:bookmarkEnd w:id="642"/>
    </w:p>
    <w:p w14:paraId="18D33284">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43" w:name="_Toc38747452"/>
      <w:r>
        <w:rPr>
          <w:rFonts w:hint="eastAsia" w:ascii="宋体" w:hAnsi="宋体" w:cs="宋体"/>
          <w:color w:val="auto"/>
          <w:sz w:val="24"/>
          <w:highlight w:val="none"/>
        </w:rPr>
        <w:t>（1）质量保证金保函，保证金额为：</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643"/>
      <w:r>
        <w:rPr>
          <w:rFonts w:hint="eastAsia" w:ascii="宋体" w:hAnsi="宋体" w:cs="宋体"/>
          <w:color w:val="auto"/>
          <w:sz w:val="24"/>
          <w:highlight w:val="none"/>
        </w:rPr>
        <w:t xml:space="preserve"> </w:t>
      </w:r>
    </w:p>
    <w:p w14:paraId="0546F021">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44" w:name="_Toc38747453"/>
      <w:r>
        <w:rPr>
          <w:rFonts w:hint="eastAsia" w:ascii="宋体" w:hAnsi="宋体" w:cs="宋体"/>
          <w:color w:val="auto"/>
          <w:sz w:val="24"/>
          <w:highlight w:val="none"/>
        </w:rPr>
        <w:t>（2）</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%的工程款；</w:t>
      </w:r>
      <w:bookmarkEnd w:id="644"/>
    </w:p>
    <w:p w14:paraId="67012A66">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45" w:name="_Toc38747454"/>
      <w:r>
        <w:rPr>
          <w:rFonts w:hint="eastAsia" w:ascii="宋体" w:hAnsi="宋体" w:cs="宋体"/>
          <w:color w:val="auto"/>
          <w:sz w:val="24"/>
          <w:highlight w:val="none"/>
        </w:rPr>
        <w:t>（3）其他方式:</w:t>
      </w:r>
      <w:r>
        <w:rPr>
          <w:rFonts w:hint="eastAsia" w:ascii="宋体" w:hAnsi="宋体" w:cs="宋体"/>
          <w:color w:val="auto"/>
          <w:sz w:val="24"/>
          <w:highlight w:val="none"/>
          <w:u w:val="single"/>
        </w:rPr>
        <w:t xml:space="preserve">  按“12.4 工程进度款支付”条款执行  </w:t>
      </w:r>
      <w:r>
        <w:rPr>
          <w:rFonts w:hint="eastAsia" w:ascii="宋体" w:hAnsi="宋体" w:cs="宋体"/>
          <w:color w:val="auto"/>
          <w:sz w:val="24"/>
          <w:highlight w:val="none"/>
        </w:rPr>
        <w:t>。</w:t>
      </w:r>
      <w:bookmarkEnd w:id="645"/>
    </w:p>
    <w:p w14:paraId="6993EA64">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46" w:name="_Toc38747455"/>
      <w:r>
        <w:rPr>
          <w:rFonts w:hint="eastAsia" w:ascii="宋体" w:hAnsi="宋体" w:cs="宋体"/>
          <w:color w:val="auto"/>
          <w:sz w:val="24"/>
          <w:highlight w:val="none"/>
        </w:rPr>
        <w:t>15.3.2 质量保证金的扣留</w:t>
      </w:r>
      <w:bookmarkEnd w:id="646"/>
      <w:r>
        <w:rPr>
          <w:rFonts w:hint="eastAsia" w:ascii="宋体" w:hAnsi="宋体" w:cs="宋体"/>
          <w:color w:val="auto"/>
          <w:sz w:val="24"/>
          <w:highlight w:val="none"/>
        </w:rPr>
        <w:t xml:space="preserve"> </w:t>
      </w:r>
    </w:p>
    <w:p w14:paraId="23DC840A">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47" w:name="_Toc38747456"/>
      <w:r>
        <w:rPr>
          <w:rFonts w:hint="eastAsia" w:ascii="宋体" w:hAnsi="宋体" w:cs="宋体"/>
          <w:color w:val="auto"/>
          <w:sz w:val="24"/>
          <w:highlight w:val="none"/>
        </w:rPr>
        <w:t>质量保证金的扣留采取以下第</w:t>
      </w:r>
      <w:r>
        <w:rPr>
          <w:rFonts w:hint="eastAsia" w:ascii="宋体" w:hAnsi="宋体" w:cs="宋体"/>
          <w:color w:val="auto"/>
          <w:sz w:val="24"/>
          <w:highlight w:val="none"/>
          <w:u w:val="single"/>
        </w:rPr>
        <w:t xml:space="preserve">  (3)   </w:t>
      </w:r>
      <w:r>
        <w:rPr>
          <w:rFonts w:hint="eastAsia" w:ascii="宋体" w:hAnsi="宋体" w:cs="宋体"/>
          <w:color w:val="auto"/>
          <w:sz w:val="24"/>
          <w:highlight w:val="none"/>
        </w:rPr>
        <w:t>种方式：</w:t>
      </w:r>
      <w:bookmarkEnd w:id="647"/>
    </w:p>
    <w:p w14:paraId="5C660F3A">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48" w:name="_Toc38747457"/>
      <w:r>
        <w:rPr>
          <w:rFonts w:hint="eastAsia" w:ascii="宋体" w:hAnsi="宋体" w:cs="宋体"/>
          <w:color w:val="auto"/>
          <w:sz w:val="24"/>
          <w:highlight w:val="none"/>
        </w:rPr>
        <w:t>（1）在支付工程进度款时逐次扣留，在此情形下，质量保证金的计算基数不包括预付款的支付、扣回以及价格调整的金额；</w:t>
      </w:r>
      <w:bookmarkEnd w:id="648"/>
    </w:p>
    <w:p w14:paraId="009D811C">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49" w:name="_Toc38747458"/>
      <w:r>
        <w:rPr>
          <w:rFonts w:hint="eastAsia" w:ascii="宋体" w:hAnsi="宋体" w:cs="宋体"/>
          <w:color w:val="auto"/>
          <w:sz w:val="24"/>
          <w:highlight w:val="none"/>
        </w:rPr>
        <w:t>（2）工程竣工结算时一次性扣留质量保证金；</w:t>
      </w:r>
      <w:bookmarkEnd w:id="649"/>
    </w:p>
    <w:p w14:paraId="6A78E231">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50" w:name="_Toc38747459"/>
      <w:r>
        <w:rPr>
          <w:rFonts w:hint="eastAsia" w:ascii="宋体" w:hAnsi="宋体" w:cs="宋体"/>
          <w:color w:val="auto"/>
          <w:sz w:val="24"/>
          <w:highlight w:val="none"/>
        </w:rPr>
        <w:t>（3）其他扣留方式:</w:t>
      </w:r>
      <w:r>
        <w:rPr>
          <w:rFonts w:hint="eastAsia" w:ascii="宋体" w:hAnsi="宋体" w:cs="宋体"/>
          <w:color w:val="auto"/>
          <w:sz w:val="24"/>
          <w:highlight w:val="none"/>
          <w:u w:val="single"/>
        </w:rPr>
        <w:t xml:space="preserve">  按“12.4 工程进度款支付”条款执行  </w:t>
      </w:r>
      <w:r>
        <w:rPr>
          <w:rFonts w:hint="eastAsia" w:ascii="宋体" w:hAnsi="宋体" w:cs="宋体"/>
          <w:color w:val="auto"/>
          <w:sz w:val="24"/>
          <w:highlight w:val="none"/>
        </w:rPr>
        <w:t>。</w:t>
      </w:r>
      <w:bookmarkEnd w:id="650"/>
    </w:p>
    <w:p w14:paraId="0C40712F">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51" w:name="_Toc38747460"/>
      <w:r>
        <w:rPr>
          <w:rFonts w:hint="eastAsia" w:ascii="宋体" w:hAnsi="宋体" w:cs="宋体"/>
          <w:color w:val="auto"/>
          <w:sz w:val="24"/>
          <w:highlight w:val="none"/>
        </w:rPr>
        <w:t>关于质量保证金的补充约定：</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651"/>
    </w:p>
    <w:bookmarkEnd w:id="608"/>
    <w:bookmarkEnd w:id="609"/>
    <w:p w14:paraId="50B47D12">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52" w:name="_Toc38747461"/>
      <w:r>
        <w:rPr>
          <w:rFonts w:hint="eastAsia" w:ascii="宋体" w:hAnsi="宋体" w:cs="宋体"/>
          <w:color w:val="auto"/>
          <w:sz w:val="24"/>
          <w:highlight w:val="none"/>
        </w:rPr>
        <w:t>15.4保修</w:t>
      </w:r>
      <w:bookmarkEnd w:id="652"/>
    </w:p>
    <w:bookmarkEnd w:id="610"/>
    <w:p w14:paraId="3AE3E568">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53" w:name="_Toc38747462"/>
      <w:r>
        <w:rPr>
          <w:rFonts w:hint="eastAsia" w:ascii="宋体" w:hAnsi="宋体" w:cs="宋体"/>
          <w:color w:val="auto"/>
          <w:sz w:val="24"/>
          <w:highlight w:val="none"/>
        </w:rPr>
        <w:t>15.4.1 保修责任</w:t>
      </w:r>
      <w:bookmarkEnd w:id="653"/>
    </w:p>
    <w:p w14:paraId="61EA8AA9">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54" w:name="_Toc38747463"/>
      <w:r>
        <w:rPr>
          <w:rFonts w:hint="eastAsia" w:ascii="宋体" w:hAnsi="宋体" w:cs="宋体"/>
          <w:color w:val="auto"/>
          <w:sz w:val="24"/>
          <w:highlight w:val="none"/>
        </w:rPr>
        <w:t>工程保修期为：</w:t>
      </w:r>
      <w:r>
        <w:rPr>
          <w:rFonts w:hint="eastAsia" w:ascii="宋体" w:hAnsi="宋体" w:cs="宋体"/>
          <w:color w:val="auto"/>
          <w:sz w:val="24"/>
          <w:highlight w:val="none"/>
          <w:u w:val="single"/>
        </w:rPr>
        <w:t xml:space="preserve">  按有关规定（详见质量保修书）。</w:t>
      </w:r>
      <w:bookmarkEnd w:id="654"/>
    </w:p>
    <w:p w14:paraId="5ED17853">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55" w:name="_Toc38747464"/>
      <w:r>
        <w:rPr>
          <w:rFonts w:hint="eastAsia" w:ascii="宋体" w:hAnsi="宋体" w:cs="宋体"/>
          <w:color w:val="auto"/>
          <w:sz w:val="24"/>
          <w:highlight w:val="none"/>
        </w:rPr>
        <w:t>15.4.3 修复通知</w:t>
      </w:r>
      <w:bookmarkEnd w:id="655"/>
    </w:p>
    <w:p w14:paraId="5070432A">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56" w:name="_Toc38747465"/>
      <w:r>
        <w:rPr>
          <w:rFonts w:hint="eastAsia" w:ascii="宋体" w:hAnsi="宋体" w:cs="宋体"/>
          <w:color w:val="auto"/>
          <w:sz w:val="24"/>
          <w:highlight w:val="none"/>
        </w:rPr>
        <w:t>承包人收到保修通知并到达工程现场的合理时间：</w:t>
      </w:r>
      <w:r>
        <w:rPr>
          <w:rFonts w:hint="eastAsia" w:ascii="宋体" w:hAnsi="宋体" w:cs="宋体"/>
          <w:color w:val="auto"/>
          <w:sz w:val="24"/>
          <w:highlight w:val="none"/>
          <w:u w:val="single"/>
        </w:rPr>
        <w:t xml:space="preserve">    48 小时   </w:t>
      </w:r>
      <w:r>
        <w:rPr>
          <w:rFonts w:hint="eastAsia" w:ascii="宋体" w:hAnsi="宋体" w:cs="宋体"/>
          <w:color w:val="auto"/>
          <w:sz w:val="24"/>
          <w:highlight w:val="none"/>
        </w:rPr>
        <w:t>。</w:t>
      </w:r>
      <w:bookmarkEnd w:id="656"/>
    </w:p>
    <w:bookmarkEnd w:id="611"/>
    <w:bookmarkEnd w:id="612"/>
    <w:bookmarkEnd w:id="613"/>
    <w:bookmarkEnd w:id="614"/>
    <w:p w14:paraId="11555AF3">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0"/>
        <w:rPr>
          <w:rFonts w:hint="eastAsia" w:ascii="宋体" w:hAnsi="宋体" w:cs="宋体"/>
          <w:b/>
          <w:color w:val="auto"/>
          <w:sz w:val="24"/>
          <w:highlight w:val="none"/>
        </w:rPr>
      </w:pPr>
      <w:bookmarkStart w:id="657" w:name="_Toc351203648"/>
      <w:bookmarkStart w:id="658" w:name="_Toc38747466"/>
      <w:bookmarkStart w:id="659" w:name="_Toc280868717"/>
      <w:bookmarkStart w:id="660" w:name="_Toc280868718"/>
      <w:r>
        <w:rPr>
          <w:rFonts w:hint="eastAsia" w:ascii="宋体" w:hAnsi="宋体" w:cs="宋体"/>
          <w:b/>
          <w:color w:val="auto"/>
          <w:sz w:val="24"/>
          <w:highlight w:val="none"/>
        </w:rPr>
        <w:t>16. 违约</w:t>
      </w:r>
      <w:bookmarkEnd w:id="657"/>
      <w:bookmarkEnd w:id="658"/>
    </w:p>
    <w:p w14:paraId="2E9C3094">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61" w:name="_Toc38747467"/>
      <w:r>
        <w:rPr>
          <w:rFonts w:hint="eastAsia" w:ascii="宋体" w:hAnsi="宋体" w:cs="宋体"/>
          <w:color w:val="auto"/>
          <w:sz w:val="24"/>
          <w:highlight w:val="none"/>
        </w:rPr>
        <w:t>16.1 发包人违约</w:t>
      </w:r>
      <w:bookmarkEnd w:id="661"/>
    </w:p>
    <w:p w14:paraId="24C6CFAE">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62" w:name="_Toc38747468"/>
      <w:r>
        <w:rPr>
          <w:rFonts w:hint="eastAsia" w:ascii="宋体" w:hAnsi="宋体" w:cs="宋体"/>
          <w:color w:val="auto"/>
          <w:sz w:val="24"/>
          <w:highlight w:val="none"/>
        </w:rPr>
        <w:t>16.1.1发包人违约的情形</w:t>
      </w:r>
      <w:bookmarkEnd w:id="662"/>
    </w:p>
    <w:p w14:paraId="06508FA6">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63" w:name="_Toc38747469"/>
      <w:r>
        <w:rPr>
          <w:rFonts w:hint="eastAsia" w:ascii="宋体" w:hAnsi="宋体" w:cs="宋体"/>
          <w:color w:val="auto"/>
          <w:sz w:val="24"/>
          <w:highlight w:val="none"/>
        </w:rPr>
        <w:t>发包人违约的其他情形：</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663"/>
    </w:p>
    <w:p w14:paraId="53F7328D">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64" w:name="_Toc38747470"/>
      <w:r>
        <w:rPr>
          <w:rFonts w:hint="eastAsia" w:ascii="宋体" w:hAnsi="宋体" w:cs="宋体"/>
          <w:color w:val="auto"/>
          <w:sz w:val="24"/>
          <w:highlight w:val="none"/>
        </w:rPr>
        <w:t>16.1.2 发包人违约的责任</w:t>
      </w:r>
      <w:bookmarkEnd w:id="664"/>
    </w:p>
    <w:p w14:paraId="71FF2DE4">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65" w:name="_Toc38747471"/>
      <w:r>
        <w:rPr>
          <w:rFonts w:hint="eastAsia" w:ascii="宋体" w:hAnsi="宋体" w:cs="宋体"/>
          <w:color w:val="auto"/>
          <w:sz w:val="24"/>
          <w:highlight w:val="none"/>
        </w:rPr>
        <w:t>发包人违约责任的承担方式和计算方法：</w:t>
      </w:r>
      <w:bookmarkEnd w:id="665"/>
    </w:p>
    <w:p w14:paraId="7954F22E">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u w:val="single"/>
        </w:rPr>
      </w:pPr>
      <w:bookmarkStart w:id="666" w:name="_Toc38747472"/>
      <w:r>
        <w:rPr>
          <w:rFonts w:hint="eastAsia" w:ascii="宋体" w:hAnsi="宋体" w:cs="宋体"/>
          <w:color w:val="auto"/>
          <w:sz w:val="24"/>
          <w:highlight w:val="none"/>
        </w:rPr>
        <w:t>（1）因发包人原因未能在计划开工日期前7天内下达开工通知的违约责任：</w:t>
      </w:r>
      <w:r>
        <w:rPr>
          <w:rFonts w:hint="eastAsia" w:ascii="宋体" w:hAnsi="宋体" w:cs="宋体"/>
          <w:color w:val="auto"/>
          <w:sz w:val="24"/>
          <w:highlight w:val="none"/>
          <w:u w:val="single"/>
        </w:rPr>
        <w:t xml:space="preserve"> 按通用合同条款  </w:t>
      </w:r>
      <w:r>
        <w:rPr>
          <w:rFonts w:hint="eastAsia" w:ascii="宋体" w:hAnsi="宋体" w:cs="宋体"/>
          <w:color w:val="auto"/>
          <w:sz w:val="24"/>
          <w:highlight w:val="none"/>
        </w:rPr>
        <w:t>。</w:t>
      </w:r>
      <w:bookmarkEnd w:id="666"/>
    </w:p>
    <w:p w14:paraId="4C6DE922">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67" w:name="_Toc38747473"/>
      <w:r>
        <w:rPr>
          <w:rFonts w:hint="eastAsia" w:ascii="宋体" w:hAnsi="宋体" w:cs="宋体"/>
          <w:color w:val="auto"/>
          <w:sz w:val="24"/>
          <w:highlight w:val="none"/>
        </w:rPr>
        <w:t>（2）因发包人原因未能按合同约定支付合同价款的违约责任：</w:t>
      </w:r>
      <w:r>
        <w:rPr>
          <w:rFonts w:hint="eastAsia" w:ascii="宋体" w:hAnsi="宋体" w:cs="宋体"/>
          <w:color w:val="auto"/>
          <w:sz w:val="24"/>
          <w:highlight w:val="none"/>
          <w:u w:val="single"/>
        </w:rPr>
        <w:t xml:space="preserve">   双方另行协商   </w:t>
      </w:r>
      <w:r>
        <w:rPr>
          <w:rFonts w:hint="eastAsia" w:ascii="宋体" w:hAnsi="宋体" w:cs="宋体"/>
          <w:color w:val="auto"/>
          <w:sz w:val="24"/>
          <w:highlight w:val="none"/>
        </w:rPr>
        <w:t>。</w:t>
      </w:r>
      <w:bookmarkEnd w:id="667"/>
    </w:p>
    <w:p w14:paraId="5AC35BD9">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68" w:name="_Toc38747474"/>
      <w:r>
        <w:rPr>
          <w:rFonts w:hint="eastAsia" w:ascii="宋体" w:hAnsi="宋体" w:cs="宋体"/>
          <w:color w:val="auto"/>
          <w:sz w:val="24"/>
          <w:highlight w:val="none"/>
        </w:rPr>
        <w:t>（3）发包人违反第10.1款〔变更的范围〕第（2）项约定，自行实施被取消的工作或转由他人实施的违约责任：</w:t>
      </w:r>
      <w:r>
        <w:rPr>
          <w:rFonts w:hint="eastAsia" w:ascii="宋体" w:hAnsi="宋体" w:cs="宋体"/>
          <w:color w:val="auto"/>
          <w:sz w:val="24"/>
          <w:highlight w:val="none"/>
          <w:u w:val="single"/>
        </w:rPr>
        <w:t xml:space="preserve">  不承担违约责任      </w:t>
      </w:r>
      <w:r>
        <w:rPr>
          <w:rFonts w:hint="eastAsia" w:ascii="宋体" w:hAnsi="宋体" w:cs="宋体"/>
          <w:color w:val="auto"/>
          <w:sz w:val="24"/>
          <w:highlight w:val="none"/>
        </w:rPr>
        <w:t>。</w:t>
      </w:r>
      <w:bookmarkEnd w:id="668"/>
    </w:p>
    <w:p w14:paraId="2504540D">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69" w:name="_Toc38747475"/>
      <w:r>
        <w:rPr>
          <w:rFonts w:hint="eastAsia" w:ascii="宋体" w:hAnsi="宋体" w:cs="宋体"/>
          <w:color w:val="auto"/>
          <w:sz w:val="24"/>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sz w:val="24"/>
          <w:highlight w:val="none"/>
          <w:u w:val="single"/>
        </w:rPr>
        <w:t xml:space="preserve">    按通用合同条款      </w:t>
      </w:r>
      <w:r>
        <w:rPr>
          <w:rFonts w:hint="eastAsia" w:ascii="宋体" w:hAnsi="宋体" w:cs="宋体"/>
          <w:color w:val="auto"/>
          <w:sz w:val="24"/>
          <w:highlight w:val="none"/>
        </w:rPr>
        <w:t>。</w:t>
      </w:r>
      <w:bookmarkEnd w:id="669"/>
    </w:p>
    <w:p w14:paraId="61B7AF2A">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70" w:name="_Toc38747476"/>
      <w:r>
        <w:rPr>
          <w:rFonts w:hint="eastAsia" w:ascii="宋体" w:hAnsi="宋体" w:cs="宋体"/>
          <w:color w:val="auto"/>
          <w:sz w:val="24"/>
          <w:highlight w:val="none"/>
        </w:rPr>
        <w:t>（5）因发包人违反合同约定造成暂停施工的违约责任：</w:t>
      </w:r>
      <w:r>
        <w:rPr>
          <w:rFonts w:hint="eastAsia" w:ascii="宋体" w:hAnsi="宋体" w:cs="宋体"/>
          <w:color w:val="auto"/>
          <w:sz w:val="24"/>
          <w:highlight w:val="none"/>
          <w:u w:val="single"/>
        </w:rPr>
        <w:t xml:space="preserve">按通用合同条款  </w:t>
      </w:r>
      <w:r>
        <w:rPr>
          <w:rFonts w:hint="eastAsia" w:ascii="宋体" w:hAnsi="宋体" w:cs="宋体"/>
          <w:color w:val="auto"/>
          <w:sz w:val="24"/>
          <w:highlight w:val="none"/>
        </w:rPr>
        <w:t>。</w:t>
      </w:r>
      <w:bookmarkEnd w:id="670"/>
    </w:p>
    <w:p w14:paraId="09EF3336">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71" w:name="_Toc38747477"/>
      <w:r>
        <w:rPr>
          <w:rFonts w:hint="eastAsia" w:ascii="宋体" w:hAnsi="宋体" w:cs="宋体"/>
          <w:color w:val="auto"/>
          <w:sz w:val="24"/>
          <w:highlight w:val="none"/>
        </w:rPr>
        <w:t>（6）发包人无正当理由没有在约定期限内发出复工指示，导致承包人无法复工的违约责任：</w:t>
      </w:r>
      <w:r>
        <w:rPr>
          <w:rFonts w:hint="eastAsia" w:ascii="宋体" w:hAnsi="宋体" w:cs="宋体"/>
          <w:color w:val="auto"/>
          <w:sz w:val="24"/>
          <w:highlight w:val="none"/>
          <w:u w:val="single"/>
        </w:rPr>
        <w:t>按通用合同条款</w:t>
      </w:r>
      <w:r>
        <w:rPr>
          <w:rFonts w:hint="eastAsia" w:ascii="宋体" w:hAnsi="宋体" w:cs="宋体"/>
          <w:color w:val="auto"/>
          <w:sz w:val="24"/>
          <w:highlight w:val="none"/>
        </w:rPr>
        <w:t>。</w:t>
      </w:r>
      <w:bookmarkEnd w:id="671"/>
    </w:p>
    <w:p w14:paraId="453D919D">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72" w:name="_Toc38747478"/>
      <w:r>
        <w:rPr>
          <w:rFonts w:hint="eastAsia" w:ascii="宋体" w:hAnsi="宋体" w:cs="宋体"/>
          <w:color w:val="auto"/>
          <w:sz w:val="24"/>
          <w:highlight w:val="none"/>
        </w:rPr>
        <w:t>（7）其他：</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672"/>
    </w:p>
    <w:p w14:paraId="6C6EEF14">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73" w:name="_Toc38747479"/>
      <w:r>
        <w:rPr>
          <w:rFonts w:hint="eastAsia" w:ascii="宋体" w:hAnsi="宋体" w:cs="宋体"/>
          <w:color w:val="auto"/>
          <w:sz w:val="24"/>
          <w:highlight w:val="none"/>
        </w:rPr>
        <w:t>16.1.3 因发包人违约解除合同</w:t>
      </w:r>
      <w:bookmarkEnd w:id="673"/>
    </w:p>
    <w:p w14:paraId="2343601B">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74" w:name="_Toc38747480"/>
      <w:r>
        <w:rPr>
          <w:rFonts w:hint="eastAsia" w:ascii="宋体" w:hAnsi="宋体" w:cs="宋体"/>
          <w:color w:val="auto"/>
          <w:sz w:val="24"/>
          <w:highlight w:val="none"/>
        </w:rPr>
        <w:t>承包人按16.1.1项〔发包人违约的情形〕约定暂停施工满</w:t>
      </w:r>
      <w:r>
        <w:rPr>
          <w:rFonts w:hint="eastAsia" w:ascii="宋体" w:hAnsi="宋体" w:cs="宋体"/>
          <w:color w:val="auto"/>
          <w:sz w:val="24"/>
          <w:highlight w:val="none"/>
          <w:u w:val="single"/>
        </w:rPr>
        <w:t>60</w:t>
      </w:r>
      <w:r>
        <w:rPr>
          <w:rFonts w:hint="eastAsia" w:ascii="宋体" w:hAnsi="宋体" w:cs="宋体"/>
          <w:color w:val="auto"/>
          <w:sz w:val="24"/>
          <w:highlight w:val="none"/>
        </w:rPr>
        <w:t>天后发包人仍不纠正其违约行为并致使合同目的不能实现的，承包人有权解除合同。</w:t>
      </w:r>
      <w:bookmarkEnd w:id="674"/>
    </w:p>
    <w:p w14:paraId="79F9B200">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75" w:name="_Toc38747481"/>
      <w:r>
        <w:rPr>
          <w:rFonts w:hint="eastAsia" w:ascii="宋体" w:hAnsi="宋体" w:cs="宋体"/>
          <w:color w:val="auto"/>
          <w:sz w:val="24"/>
          <w:highlight w:val="none"/>
        </w:rPr>
        <w:t>16.2 承包人违约</w:t>
      </w:r>
      <w:bookmarkEnd w:id="675"/>
    </w:p>
    <w:p w14:paraId="4D68134A">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76" w:name="_Toc38747482"/>
      <w:r>
        <w:rPr>
          <w:rFonts w:hint="eastAsia" w:ascii="宋体" w:hAnsi="宋体" w:cs="宋体"/>
          <w:color w:val="auto"/>
          <w:sz w:val="24"/>
          <w:highlight w:val="none"/>
        </w:rPr>
        <w:t>16.2.1 承包人违约的情形</w:t>
      </w:r>
      <w:bookmarkEnd w:id="676"/>
    </w:p>
    <w:p w14:paraId="2A52230B">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77" w:name="_Toc38747483"/>
      <w:r>
        <w:rPr>
          <w:rFonts w:hint="eastAsia" w:ascii="宋体" w:hAnsi="宋体" w:cs="宋体"/>
          <w:color w:val="auto"/>
          <w:sz w:val="24"/>
          <w:highlight w:val="none"/>
        </w:rPr>
        <w:t>承包人违约的其他情形：</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bookmarkEnd w:id="677"/>
    </w:p>
    <w:p w14:paraId="382DA357">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78" w:name="_Toc38747484"/>
      <w:r>
        <w:rPr>
          <w:rFonts w:hint="eastAsia" w:ascii="宋体" w:hAnsi="宋体" w:cs="宋体"/>
          <w:color w:val="auto"/>
          <w:sz w:val="24"/>
          <w:highlight w:val="none"/>
        </w:rPr>
        <w:t>16.2.2承包人违约的责任</w:t>
      </w:r>
      <w:bookmarkEnd w:id="678"/>
    </w:p>
    <w:p w14:paraId="3966D6C5">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u w:val="single"/>
        </w:rPr>
      </w:pPr>
      <w:bookmarkStart w:id="679" w:name="_Toc38747485"/>
      <w:r>
        <w:rPr>
          <w:rFonts w:hint="eastAsia" w:ascii="宋体" w:hAnsi="宋体" w:cs="宋体"/>
          <w:color w:val="auto"/>
          <w:sz w:val="24"/>
          <w:highlight w:val="none"/>
        </w:rPr>
        <w:t>承包人违约责任的承担方式和计算方法：</w:t>
      </w:r>
      <w:r>
        <w:rPr>
          <w:rFonts w:hint="eastAsia" w:ascii="宋体" w:hAnsi="宋体" w:cs="宋体"/>
          <w:b/>
          <w:color w:val="auto"/>
          <w:sz w:val="24"/>
          <w:highlight w:val="none"/>
          <w:u w:val="single"/>
        </w:rPr>
        <w:t>如因承包人原因造成工期延误，则按每延误一天承担中标价的万分之八的违约金计算，无限额。 如本工程达不到一次验收合格标准，承包人须维修至合格并按中标价的3%向发包人支付违约金。</w:t>
      </w:r>
      <w:bookmarkEnd w:id="679"/>
    </w:p>
    <w:p w14:paraId="5E6705CB">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80" w:name="_Toc38747486"/>
      <w:r>
        <w:rPr>
          <w:rFonts w:hint="eastAsia" w:ascii="宋体" w:hAnsi="宋体" w:cs="宋体"/>
          <w:color w:val="auto"/>
          <w:sz w:val="24"/>
          <w:highlight w:val="none"/>
        </w:rPr>
        <w:t>16.2.3 因承包人违约解除合同</w:t>
      </w:r>
      <w:bookmarkEnd w:id="680"/>
    </w:p>
    <w:p w14:paraId="0C1ECD8C">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81" w:name="_Toc38747487"/>
      <w:r>
        <w:rPr>
          <w:rFonts w:hint="eastAsia" w:ascii="宋体" w:hAnsi="宋体" w:cs="宋体"/>
          <w:color w:val="auto"/>
          <w:sz w:val="24"/>
          <w:highlight w:val="none"/>
        </w:rPr>
        <w:t>关于承包人违约解除合同的特别约定：</w:t>
      </w:r>
      <w:r>
        <w:rPr>
          <w:rFonts w:hint="eastAsia" w:ascii="宋体" w:hAnsi="宋体" w:cs="宋体"/>
          <w:color w:val="auto"/>
          <w:sz w:val="24"/>
          <w:highlight w:val="none"/>
          <w:u w:val="single"/>
        </w:rPr>
        <w:t xml:space="preserve">    按通用合同条款                   </w:t>
      </w:r>
      <w:r>
        <w:rPr>
          <w:rFonts w:hint="eastAsia" w:ascii="宋体" w:hAnsi="宋体" w:cs="宋体"/>
          <w:color w:val="auto"/>
          <w:sz w:val="24"/>
          <w:highlight w:val="none"/>
        </w:rPr>
        <w:t>。</w:t>
      </w:r>
      <w:bookmarkEnd w:id="681"/>
    </w:p>
    <w:p w14:paraId="054D380F">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82" w:name="_Toc38747488"/>
      <w:r>
        <w:rPr>
          <w:rFonts w:hint="eastAsia" w:ascii="宋体" w:hAnsi="宋体" w:cs="宋体"/>
          <w:color w:val="auto"/>
          <w:sz w:val="24"/>
          <w:highlight w:val="none"/>
        </w:rPr>
        <w:t>发包人继续使用承包人在施工现场的材料、设备、临时工程、承包人文件和由承包人或以其名义编制的其他文件的费用承担方式：</w:t>
      </w:r>
      <w:r>
        <w:rPr>
          <w:rFonts w:hint="eastAsia" w:ascii="宋体" w:hAnsi="宋体" w:cs="宋体"/>
          <w:color w:val="auto"/>
          <w:sz w:val="24"/>
          <w:highlight w:val="none"/>
          <w:u w:val="single"/>
        </w:rPr>
        <w:t>由承包人承担</w:t>
      </w:r>
      <w:r>
        <w:rPr>
          <w:rFonts w:hint="eastAsia" w:ascii="宋体" w:hAnsi="宋体" w:cs="宋体"/>
          <w:color w:val="auto"/>
          <w:sz w:val="24"/>
          <w:highlight w:val="none"/>
        </w:rPr>
        <w:t>。</w:t>
      </w:r>
      <w:bookmarkEnd w:id="682"/>
      <w:bookmarkStart w:id="683" w:name="_Toc351203649"/>
    </w:p>
    <w:p w14:paraId="3FAFCC1C">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0"/>
        <w:rPr>
          <w:rFonts w:hint="eastAsia" w:ascii="宋体" w:hAnsi="宋体" w:cs="宋体"/>
          <w:b/>
          <w:color w:val="auto"/>
          <w:sz w:val="24"/>
          <w:highlight w:val="none"/>
        </w:rPr>
      </w:pPr>
      <w:bookmarkStart w:id="684" w:name="_Toc38747489"/>
      <w:r>
        <w:rPr>
          <w:rFonts w:hint="eastAsia" w:ascii="宋体" w:hAnsi="宋体" w:cs="宋体"/>
          <w:b/>
          <w:color w:val="auto"/>
          <w:sz w:val="24"/>
          <w:highlight w:val="none"/>
        </w:rPr>
        <w:t>17. 不可抗力</w:t>
      </w:r>
      <w:bookmarkEnd w:id="659"/>
      <w:bookmarkEnd w:id="683"/>
      <w:bookmarkEnd w:id="684"/>
    </w:p>
    <w:p w14:paraId="39214EFC">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85" w:name="_Toc38747490"/>
      <w:r>
        <w:rPr>
          <w:rFonts w:hint="eastAsia" w:ascii="宋体" w:hAnsi="宋体" w:cs="宋体"/>
          <w:color w:val="auto"/>
          <w:sz w:val="24"/>
          <w:highlight w:val="none"/>
        </w:rPr>
        <w:t>17.1 不可抗力的确认</w:t>
      </w:r>
      <w:bookmarkEnd w:id="685"/>
    </w:p>
    <w:p w14:paraId="55954261">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86" w:name="_Toc38747491"/>
      <w:r>
        <w:rPr>
          <w:rFonts w:hint="eastAsia" w:ascii="宋体" w:hAnsi="宋体" w:cs="宋体"/>
          <w:color w:val="auto"/>
          <w:sz w:val="24"/>
          <w:highlight w:val="none"/>
        </w:rPr>
        <w:t>除通用合同条款约定的不可抗力事件之外，视为不可抗力的其他情形：</w:t>
      </w:r>
      <w:r>
        <w:rPr>
          <w:rFonts w:hint="eastAsia" w:ascii="宋体" w:hAnsi="宋体" w:cs="宋体"/>
          <w:color w:val="auto"/>
          <w:sz w:val="24"/>
          <w:highlight w:val="none"/>
          <w:u w:val="single"/>
        </w:rPr>
        <w:t xml:space="preserve">按保险合同解释 </w:t>
      </w:r>
      <w:r>
        <w:rPr>
          <w:rFonts w:hint="eastAsia" w:ascii="宋体" w:hAnsi="宋体" w:cs="宋体"/>
          <w:color w:val="auto"/>
          <w:sz w:val="24"/>
          <w:highlight w:val="none"/>
        </w:rPr>
        <w:t>。</w:t>
      </w:r>
      <w:bookmarkEnd w:id="686"/>
    </w:p>
    <w:p w14:paraId="74152CDB">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87" w:name="_Toc38747492"/>
      <w:r>
        <w:rPr>
          <w:rFonts w:hint="eastAsia" w:ascii="宋体" w:hAnsi="宋体" w:cs="宋体"/>
          <w:color w:val="auto"/>
          <w:sz w:val="24"/>
          <w:highlight w:val="none"/>
        </w:rPr>
        <w:t>17.3</w:t>
      </w:r>
      <w:bookmarkStart w:id="688" w:name="_Toc351203610"/>
      <w:r>
        <w:rPr>
          <w:rFonts w:hint="eastAsia" w:ascii="宋体" w:hAnsi="宋体" w:cs="宋体"/>
          <w:color w:val="auto"/>
          <w:sz w:val="24"/>
          <w:highlight w:val="none"/>
        </w:rPr>
        <w:t xml:space="preserve"> 不可抗力后果的承担</w:t>
      </w:r>
      <w:bookmarkEnd w:id="687"/>
      <w:bookmarkEnd w:id="688"/>
      <w:r>
        <w:rPr>
          <w:rFonts w:hint="eastAsia" w:ascii="宋体" w:hAnsi="宋体" w:cs="宋体"/>
          <w:color w:val="auto"/>
          <w:sz w:val="24"/>
          <w:highlight w:val="none"/>
        </w:rPr>
        <w:t>：</w:t>
      </w:r>
      <w:r>
        <w:rPr>
          <w:rFonts w:hint="eastAsia" w:ascii="宋体" w:hAnsi="宋体"/>
          <w:color w:val="auto"/>
          <w:sz w:val="24"/>
          <w:highlight w:val="none"/>
          <w:lang w:val="en-US" w:eastAsia="zh-CN"/>
        </w:rPr>
        <w:t>按</w:t>
      </w:r>
      <w:r>
        <w:rPr>
          <w:rFonts w:hint="eastAsia" w:ascii="宋体" w:hAnsi="宋体"/>
          <w:color w:val="auto"/>
          <w:kern w:val="0"/>
          <w:sz w:val="24"/>
          <w:szCs w:val="40"/>
          <w:highlight w:val="none"/>
          <w:u w:val="single"/>
        </w:rPr>
        <w:t>《建设工程工程量清单计价标准》（GBT50500-2024）</w:t>
      </w:r>
      <w:r>
        <w:rPr>
          <w:rFonts w:hint="eastAsia" w:ascii="宋体" w:hAnsi="宋体"/>
          <w:color w:val="auto"/>
          <w:kern w:val="0"/>
          <w:sz w:val="24"/>
          <w:szCs w:val="40"/>
          <w:highlight w:val="none"/>
          <w:u w:val="single"/>
          <w:lang w:val="en-US" w:eastAsia="zh-CN"/>
        </w:rPr>
        <w:t>第8.11.12-8.11.14条执行</w:t>
      </w:r>
      <w:r>
        <w:rPr>
          <w:rFonts w:hint="eastAsia" w:ascii="宋体" w:hAnsi="宋体" w:cs="宋体"/>
          <w:color w:val="auto"/>
          <w:sz w:val="24"/>
          <w:highlight w:val="none"/>
          <w:u w:val="single"/>
        </w:rPr>
        <w:t>。</w:t>
      </w:r>
    </w:p>
    <w:p w14:paraId="185467B0">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89" w:name="_Toc38747503"/>
      <w:r>
        <w:rPr>
          <w:rFonts w:hint="eastAsia" w:ascii="宋体" w:hAnsi="宋体" w:cs="宋体"/>
          <w:color w:val="auto"/>
          <w:sz w:val="24"/>
          <w:highlight w:val="none"/>
        </w:rPr>
        <w:t>17.4 因不可抗力解除合同</w:t>
      </w:r>
      <w:bookmarkEnd w:id="689"/>
    </w:p>
    <w:p w14:paraId="0F965062">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90" w:name="_Toc38747504"/>
      <w:r>
        <w:rPr>
          <w:rFonts w:hint="eastAsia" w:ascii="宋体" w:hAnsi="宋体" w:cs="宋体"/>
          <w:color w:val="auto"/>
          <w:sz w:val="24"/>
          <w:highlight w:val="none"/>
        </w:rPr>
        <w:t>合同解除后，发包人应在商定或确定发包人应支付款项后</w:t>
      </w:r>
      <w:r>
        <w:rPr>
          <w:rFonts w:hint="eastAsia" w:ascii="宋体" w:hAnsi="宋体" w:cs="宋体"/>
          <w:color w:val="auto"/>
          <w:sz w:val="24"/>
          <w:highlight w:val="none"/>
          <w:u w:val="single"/>
        </w:rPr>
        <w:t xml:space="preserve"> 按通用条款（28天） </w:t>
      </w:r>
      <w:r>
        <w:rPr>
          <w:rFonts w:hint="eastAsia" w:ascii="宋体" w:hAnsi="宋体" w:cs="宋体"/>
          <w:color w:val="auto"/>
          <w:sz w:val="24"/>
          <w:highlight w:val="none"/>
        </w:rPr>
        <w:t>天内完成款项的支付。</w:t>
      </w:r>
      <w:bookmarkEnd w:id="690"/>
    </w:p>
    <w:p w14:paraId="2D13FFC1">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0"/>
        <w:rPr>
          <w:rFonts w:hint="eastAsia" w:ascii="宋体" w:hAnsi="宋体" w:cs="宋体"/>
          <w:b/>
          <w:color w:val="auto"/>
          <w:sz w:val="24"/>
          <w:highlight w:val="none"/>
        </w:rPr>
      </w:pPr>
      <w:bookmarkStart w:id="691" w:name="_Toc38747505"/>
      <w:bookmarkStart w:id="692" w:name="_Toc351203650"/>
      <w:r>
        <w:rPr>
          <w:rFonts w:hint="eastAsia" w:ascii="宋体" w:hAnsi="宋体" w:cs="宋体"/>
          <w:b/>
          <w:color w:val="auto"/>
          <w:sz w:val="24"/>
          <w:highlight w:val="none"/>
        </w:rPr>
        <w:t>18. 保险</w:t>
      </w:r>
      <w:bookmarkEnd w:id="691"/>
      <w:bookmarkEnd w:id="692"/>
    </w:p>
    <w:bookmarkEnd w:id="660"/>
    <w:p w14:paraId="585BBF19">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93" w:name="_Toc38747506"/>
      <w:r>
        <w:rPr>
          <w:rFonts w:hint="eastAsia" w:ascii="宋体" w:hAnsi="宋体" w:cs="宋体"/>
          <w:color w:val="auto"/>
          <w:sz w:val="24"/>
          <w:highlight w:val="none"/>
        </w:rPr>
        <w:t>18.1 工程保险</w:t>
      </w:r>
      <w:bookmarkEnd w:id="693"/>
    </w:p>
    <w:p w14:paraId="7B07B9D4">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94" w:name="_Toc38747507"/>
      <w:r>
        <w:rPr>
          <w:rFonts w:hint="eastAsia" w:ascii="宋体" w:hAnsi="宋体" w:cs="宋体"/>
          <w:color w:val="auto"/>
          <w:sz w:val="24"/>
          <w:highlight w:val="none"/>
        </w:rPr>
        <w:t>关于工程保险的特别约定：</w:t>
      </w:r>
      <w:r>
        <w:rPr>
          <w:rFonts w:hint="eastAsia" w:ascii="宋体" w:hAnsi="宋体" w:cs="宋体"/>
          <w:color w:val="auto"/>
          <w:sz w:val="24"/>
          <w:highlight w:val="none"/>
          <w:u w:val="single"/>
        </w:rPr>
        <w:t>由承包人投保建筑工程一切险或安装工程一切险，投保产生的费用由承包人承担，已包含在合同价内</w:t>
      </w:r>
      <w:r>
        <w:rPr>
          <w:rFonts w:hint="eastAsia" w:ascii="宋体" w:hAnsi="宋体" w:cs="宋体"/>
          <w:color w:val="auto"/>
          <w:sz w:val="24"/>
          <w:highlight w:val="none"/>
        </w:rPr>
        <w:t>。</w:t>
      </w:r>
      <w:bookmarkEnd w:id="694"/>
    </w:p>
    <w:p w14:paraId="2993480B">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95" w:name="_Toc38747508"/>
      <w:r>
        <w:rPr>
          <w:rFonts w:hint="eastAsia" w:ascii="宋体" w:hAnsi="宋体" w:cs="宋体"/>
          <w:color w:val="auto"/>
          <w:sz w:val="24"/>
          <w:highlight w:val="none"/>
        </w:rPr>
        <w:t>18.3 其他保险</w:t>
      </w:r>
      <w:bookmarkEnd w:id="695"/>
    </w:p>
    <w:p w14:paraId="227E1783">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96" w:name="_Toc38747509"/>
      <w:r>
        <w:rPr>
          <w:rFonts w:hint="eastAsia" w:ascii="宋体" w:hAnsi="宋体" w:cs="宋体"/>
          <w:color w:val="auto"/>
          <w:sz w:val="24"/>
          <w:highlight w:val="none"/>
        </w:rPr>
        <w:t>关于其他保险的约定：</w:t>
      </w:r>
      <w:r>
        <w:rPr>
          <w:rFonts w:hint="eastAsia" w:ascii="宋体" w:hAnsi="宋体" w:cs="宋体"/>
          <w:color w:val="auto"/>
          <w:sz w:val="24"/>
          <w:highlight w:val="none"/>
          <w:u w:val="single"/>
        </w:rPr>
        <w:t xml:space="preserve"> 承包人必须为从事危险作业的人员办理意外伤害保险，并为施工场地内自有人员生命财产和施工机械设备办理保险。</w:t>
      </w:r>
      <w:bookmarkEnd w:id="696"/>
    </w:p>
    <w:p w14:paraId="3A0D2D97">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97" w:name="_Toc38747510"/>
      <w:r>
        <w:rPr>
          <w:rFonts w:hint="eastAsia" w:ascii="宋体" w:hAnsi="宋体" w:cs="宋体"/>
          <w:color w:val="auto"/>
          <w:sz w:val="24"/>
          <w:highlight w:val="none"/>
        </w:rPr>
        <w:t>承包人是否应为其施工设备等办理财产保险：</w:t>
      </w:r>
      <w:r>
        <w:rPr>
          <w:rFonts w:hint="eastAsia" w:ascii="宋体" w:hAnsi="宋体" w:cs="宋体"/>
          <w:color w:val="auto"/>
          <w:sz w:val="24"/>
          <w:highlight w:val="none"/>
          <w:u w:val="single"/>
        </w:rPr>
        <w:t xml:space="preserve">  按通用合同条款    </w:t>
      </w:r>
      <w:r>
        <w:rPr>
          <w:rFonts w:hint="eastAsia" w:ascii="宋体" w:hAnsi="宋体" w:cs="宋体"/>
          <w:color w:val="auto"/>
          <w:sz w:val="24"/>
          <w:highlight w:val="none"/>
        </w:rPr>
        <w:t>。</w:t>
      </w:r>
      <w:bookmarkEnd w:id="697"/>
    </w:p>
    <w:p w14:paraId="1DE0C1AA">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98" w:name="_Toc38747511"/>
      <w:r>
        <w:rPr>
          <w:rFonts w:hint="eastAsia" w:ascii="宋体" w:hAnsi="宋体" w:cs="宋体"/>
          <w:color w:val="auto"/>
          <w:sz w:val="24"/>
          <w:highlight w:val="none"/>
        </w:rPr>
        <w:t>18.7 通知义务</w:t>
      </w:r>
      <w:bookmarkEnd w:id="698"/>
    </w:p>
    <w:p w14:paraId="69A0F907">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699" w:name="_Toc38747512"/>
      <w:r>
        <w:rPr>
          <w:rFonts w:hint="eastAsia" w:ascii="宋体" w:hAnsi="宋体" w:cs="宋体"/>
          <w:color w:val="auto"/>
          <w:sz w:val="24"/>
          <w:highlight w:val="none"/>
        </w:rPr>
        <w:t>关于变更保险合同时的通知义务的约定：</w:t>
      </w:r>
      <w:r>
        <w:rPr>
          <w:rFonts w:hint="eastAsia" w:ascii="宋体" w:hAnsi="宋体" w:cs="宋体"/>
          <w:color w:val="auto"/>
          <w:sz w:val="24"/>
          <w:highlight w:val="none"/>
          <w:u w:val="single"/>
        </w:rPr>
        <w:t xml:space="preserve">按通用合同条款  </w:t>
      </w:r>
      <w:r>
        <w:rPr>
          <w:rFonts w:hint="eastAsia" w:ascii="宋体" w:hAnsi="宋体" w:cs="宋体"/>
          <w:color w:val="auto"/>
          <w:sz w:val="24"/>
          <w:highlight w:val="none"/>
        </w:rPr>
        <w:t>。</w:t>
      </w:r>
      <w:bookmarkEnd w:id="699"/>
    </w:p>
    <w:bookmarkEnd w:id="615"/>
    <w:bookmarkEnd w:id="616"/>
    <w:bookmarkEnd w:id="617"/>
    <w:bookmarkEnd w:id="618"/>
    <w:bookmarkEnd w:id="619"/>
    <w:bookmarkEnd w:id="620"/>
    <w:bookmarkEnd w:id="621"/>
    <w:bookmarkEnd w:id="622"/>
    <w:bookmarkEnd w:id="623"/>
    <w:bookmarkEnd w:id="624"/>
    <w:bookmarkEnd w:id="625"/>
    <w:bookmarkEnd w:id="626"/>
    <w:p w14:paraId="43C7D100">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0"/>
        <w:rPr>
          <w:rFonts w:hint="eastAsia" w:ascii="宋体" w:hAnsi="宋体" w:cs="宋体"/>
          <w:b/>
          <w:color w:val="auto"/>
          <w:sz w:val="24"/>
          <w:highlight w:val="none"/>
        </w:rPr>
      </w:pPr>
      <w:bookmarkStart w:id="700" w:name="_Toc351203651"/>
      <w:bookmarkStart w:id="701" w:name="_Toc38747513"/>
      <w:r>
        <w:rPr>
          <w:rFonts w:hint="eastAsia" w:ascii="宋体" w:hAnsi="宋体" w:cs="宋体"/>
          <w:b/>
          <w:color w:val="auto"/>
          <w:sz w:val="24"/>
          <w:highlight w:val="none"/>
        </w:rPr>
        <w:t>20. 争议解决</w:t>
      </w:r>
      <w:bookmarkEnd w:id="700"/>
      <w:bookmarkEnd w:id="701"/>
    </w:p>
    <w:bookmarkEnd w:id="627"/>
    <w:bookmarkEnd w:id="628"/>
    <w:bookmarkEnd w:id="629"/>
    <w:bookmarkEnd w:id="630"/>
    <w:bookmarkEnd w:id="631"/>
    <w:bookmarkEnd w:id="632"/>
    <w:bookmarkEnd w:id="633"/>
    <w:bookmarkEnd w:id="634"/>
    <w:bookmarkEnd w:id="635"/>
    <w:bookmarkEnd w:id="636"/>
    <w:p w14:paraId="48526797">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bCs/>
          <w:color w:val="auto"/>
          <w:sz w:val="24"/>
          <w:highlight w:val="none"/>
        </w:rPr>
      </w:pPr>
      <w:bookmarkStart w:id="702" w:name="_Toc38747514"/>
      <w:r>
        <w:rPr>
          <w:rFonts w:hint="eastAsia" w:ascii="宋体" w:hAnsi="宋体" w:cs="宋体"/>
          <w:bCs/>
          <w:color w:val="auto"/>
          <w:sz w:val="24"/>
          <w:highlight w:val="none"/>
        </w:rPr>
        <w:t>20.3 争议评审</w:t>
      </w:r>
      <w:bookmarkEnd w:id="702"/>
    </w:p>
    <w:p w14:paraId="0CA59824">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703" w:name="_Toc38747515"/>
      <w:r>
        <w:rPr>
          <w:rFonts w:hint="eastAsia" w:ascii="宋体" w:hAnsi="宋体" w:cs="宋体"/>
          <w:color w:val="auto"/>
          <w:sz w:val="24"/>
          <w:highlight w:val="none"/>
        </w:rPr>
        <w:t>合同当事人是否同意将工程争议提交争议评审小组决定：</w:t>
      </w:r>
      <w:r>
        <w:rPr>
          <w:rFonts w:hint="eastAsia" w:ascii="宋体" w:hAnsi="宋体" w:cs="宋体"/>
          <w:color w:val="auto"/>
          <w:sz w:val="24"/>
          <w:highlight w:val="none"/>
          <w:u w:val="single"/>
        </w:rPr>
        <w:t>否</w:t>
      </w:r>
      <w:r>
        <w:rPr>
          <w:rFonts w:hint="eastAsia" w:ascii="宋体" w:hAnsi="宋体" w:cs="宋体"/>
          <w:color w:val="auto"/>
          <w:sz w:val="24"/>
          <w:highlight w:val="none"/>
        </w:rPr>
        <w:t>。</w:t>
      </w:r>
      <w:bookmarkEnd w:id="703"/>
      <w:r>
        <w:rPr>
          <w:rFonts w:hint="eastAsia" w:ascii="宋体" w:hAnsi="宋体" w:cs="宋体"/>
          <w:color w:val="auto"/>
          <w:sz w:val="24"/>
          <w:highlight w:val="none"/>
        </w:rPr>
        <w:t xml:space="preserve">  </w:t>
      </w:r>
    </w:p>
    <w:p w14:paraId="69C55A87">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704" w:name="_Toc38747516"/>
      <w:r>
        <w:rPr>
          <w:rFonts w:hint="eastAsia" w:ascii="宋体" w:hAnsi="宋体" w:cs="宋体"/>
          <w:color w:val="auto"/>
          <w:sz w:val="24"/>
          <w:highlight w:val="none"/>
        </w:rPr>
        <w:t>20.3.1 争议评审小组的确定</w:t>
      </w:r>
      <w:bookmarkEnd w:id="704"/>
    </w:p>
    <w:p w14:paraId="77208C46">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u w:val="single"/>
        </w:rPr>
      </w:pPr>
      <w:bookmarkStart w:id="705" w:name="_Toc38747517"/>
      <w:r>
        <w:rPr>
          <w:rFonts w:hint="eastAsia" w:ascii="宋体" w:hAnsi="宋体" w:cs="宋体"/>
          <w:color w:val="auto"/>
          <w:sz w:val="24"/>
          <w:highlight w:val="none"/>
        </w:rPr>
        <w:t>争议评审小组成员的确定：</w:t>
      </w:r>
      <w:r>
        <w:rPr>
          <w:rFonts w:hint="eastAsia" w:ascii="宋体" w:hAnsi="宋体" w:cs="宋体"/>
          <w:color w:val="auto"/>
          <w:sz w:val="24"/>
          <w:highlight w:val="none"/>
          <w:u w:val="single"/>
        </w:rPr>
        <w:t>/</w:t>
      </w:r>
      <w:bookmarkEnd w:id="705"/>
    </w:p>
    <w:p w14:paraId="1512F51C">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706" w:name="_Toc38747518"/>
      <w:r>
        <w:rPr>
          <w:rFonts w:hint="eastAsia" w:ascii="宋体" w:hAnsi="宋体" w:cs="宋体"/>
          <w:color w:val="auto"/>
          <w:sz w:val="24"/>
          <w:highlight w:val="none"/>
        </w:rPr>
        <w:t>选定争议评审员的期限：</w:t>
      </w:r>
      <w:r>
        <w:rPr>
          <w:rFonts w:hint="eastAsia" w:ascii="宋体" w:hAnsi="宋体" w:cs="宋体"/>
          <w:color w:val="auto"/>
          <w:sz w:val="24"/>
          <w:highlight w:val="none"/>
          <w:u w:val="single"/>
        </w:rPr>
        <w:t>/</w:t>
      </w:r>
      <w:bookmarkEnd w:id="706"/>
    </w:p>
    <w:p w14:paraId="02D7FADB">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707" w:name="_Toc38747519"/>
      <w:r>
        <w:rPr>
          <w:rFonts w:hint="eastAsia" w:ascii="宋体" w:hAnsi="宋体" w:cs="宋体"/>
          <w:color w:val="auto"/>
          <w:sz w:val="24"/>
          <w:highlight w:val="none"/>
        </w:rPr>
        <w:t>争议评审小组成员的报酬承担方式：</w:t>
      </w:r>
      <w:r>
        <w:rPr>
          <w:rFonts w:hint="eastAsia" w:ascii="宋体" w:hAnsi="宋体" w:cs="宋体"/>
          <w:color w:val="auto"/>
          <w:sz w:val="24"/>
          <w:highlight w:val="none"/>
          <w:u w:val="single"/>
        </w:rPr>
        <w:t>/</w:t>
      </w:r>
      <w:bookmarkEnd w:id="707"/>
    </w:p>
    <w:p w14:paraId="4E18FE36">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708" w:name="_Toc38747520"/>
      <w:r>
        <w:rPr>
          <w:rFonts w:hint="eastAsia" w:ascii="宋体" w:hAnsi="宋体" w:cs="宋体"/>
          <w:color w:val="auto"/>
          <w:sz w:val="24"/>
          <w:highlight w:val="none"/>
        </w:rPr>
        <w:t>其他事项的约定：</w:t>
      </w:r>
      <w:r>
        <w:rPr>
          <w:rFonts w:hint="eastAsia" w:ascii="宋体" w:hAnsi="宋体" w:cs="宋体"/>
          <w:color w:val="auto"/>
          <w:sz w:val="24"/>
          <w:highlight w:val="none"/>
          <w:u w:val="single"/>
        </w:rPr>
        <w:t>/</w:t>
      </w:r>
      <w:bookmarkEnd w:id="708"/>
    </w:p>
    <w:p w14:paraId="393A3664">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709" w:name="_Toc38747521"/>
      <w:r>
        <w:rPr>
          <w:rFonts w:hint="eastAsia" w:ascii="宋体" w:hAnsi="宋体" w:cs="宋体"/>
          <w:color w:val="auto"/>
          <w:sz w:val="24"/>
          <w:highlight w:val="none"/>
        </w:rPr>
        <w:t>20.3.2 争议评审小组的决定</w:t>
      </w:r>
      <w:bookmarkEnd w:id="709"/>
    </w:p>
    <w:p w14:paraId="7370DCE8">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710" w:name="_Toc38747522"/>
      <w:r>
        <w:rPr>
          <w:rFonts w:hint="eastAsia" w:ascii="宋体" w:hAnsi="宋体" w:cs="宋体"/>
          <w:color w:val="auto"/>
          <w:sz w:val="24"/>
          <w:highlight w:val="none"/>
        </w:rPr>
        <w:t>合同当事人关于本项的约定：</w:t>
      </w:r>
      <w:r>
        <w:rPr>
          <w:rFonts w:hint="eastAsia" w:ascii="宋体" w:hAnsi="宋体" w:cs="宋体"/>
          <w:color w:val="auto"/>
          <w:sz w:val="24"/>
          <w:highlight w:val="none"/>
          <w:u w:val="single"/>
        </w:rPr>
        <w:t>/</w:t>
      </w:r>
      <w:bookmarkEnd w:id="710"/>
    </w:p>
    <w:p w14:paraId="6D131B5C">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bCs/>
          <w:color w:val="auto"/>
          <w:sz w:val="24"/>
          <w:highlight w:val="none"/>
        </w:rPr>
      </w:pPr>
      <w:bookmarkStart w:id="711" w:name="_Toc38747523"/>
      <w:r>
        <w:rPr>
          <w:rFonts w:hint="eastAsia" w:ascii="宋体" w:hAnsi="宋体" w:cs="宋体"/>
          <w:bCs/>
          <w:color w:val="auto"/>
          <w:sz w:val="24"/>
          <w:highlight w:val="none"/>
        </w:rPr>
        <w:t>20.4仲裁或诉讼</w:t>
      </w:r>
      <w:bookmarkEnd w:id="711"/>
    </w:p>
    <w:p w14:paraId="19ACDDC3">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712" w:name="_Toc38747524"/>
      <w:r>
        <w:rPr>
          <w:rFonts w:hint="eastAsia" w:ascii="宋体" w:hAnsi="宋体" w:cs="宋体"/>
          <w:color w:val="auto"/>
          <w:sz w:val="24"/>
          <w:highlight w:val="none"/>
        </w:rPr>
        <w:t>因合同及合同有关事项发生的争议，按下列第</w:t>
      </w:r>
      <w:r>
        <w:rPr>
          <w:rFonts w:hint="eastAsia" w:ascii="宋体" w:hAnsi="宋体" w:cs="宋体"/>
          <w:color w:val="auto"/>
          <w:sz w:val="24"/>
          <w:highlight w:val="none"/>
          <w:u w:val="single"/>
        </w:rPr>
        <w:t>2</w:t>
      </w:r>
      <w:r>
        <w:rPr>
          <w:rFonts w:hint="eastAsia" w:ascii="宋体" w:hAnsi="宋体" w:cs="宋体"/>
          <w:color w:val="auto"/>
          <w:sz w:val="24"/>
          <w:highlight w:val="none"/>
        </w:rPr>
        <w:t>种方式解决：</w:t>
      </w:r>
      <w:bookmarkEnd w:id="712"/>
    </w:p>
    <w:p w14:paraId="006CC3C3">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713" w:name="_Toc38747525"/>
      <w:r>
        <w:rPr>
          <w:rFonts w:hint="eastAsia" w:ascii="宋体" w:hAnsi="宋体" w:cs="宋体"/>
          <w:color w:val="auto"/>
          <w:sz w:val="24"/>
          <w:highlight w:val="none"/>
        </w:rPr>
        <w:t>（1）向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仲裁委员会申请仲裁；</w:t>
      </w:r>
      <w:bookmarkEnd w:id="713"/>
    </w:p>
    <w:p w14:paraId="619E6856">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714" w:name="_Toc38747526"/>
      <w:r>
        <w:rPr>
          <w:rFonts w:hint="eastAsia" w:ascii="宋体" w:hAnsi="宋体" w:cs="宋体"/>
          <w:color w:val="auto"/>
          <w:sz w:val="24"/>
          <w:highlight w:val="none"/>
        </w:rPr>
        <w:t>（2）向</w:t>
      </w:r>
      <w:r>
        <w:rPr>
          <w:rFonts w:hint="eastAsia" w:ascii="宋体" w:hAnsi="宋体" w:cs="宋体"/>
          <w:color w:val="auto"/>
          <w:sz w:val="24"/>
          <w:highlight w:val="none"/>
          <w:u w:val="single"/>
        </w:rPr>
        <w:t>工程所在地</w:t>
      </w:r>
      <w:r>
        <w:rPr>
          <w:rFonts w:hint="eastAsia" w:ascii="宋体" w:hAnsi="宋体" w:cs="宋体"/>
          <w:color w:val="auto"/>
          <w:sz w:val="24"/>
          <w:highlight w:val="none"/>
        </w:rPr>
        <w:t>人民法院起诉。</w:t>
      </w:r>
      <w:bookmarkEnd w:id="714"/>
    </w:p>
    <w:p w14:paraId="4AB0D105">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715" w:name="_Toc38747527"/>
      <w:r>
        <w:rPr>
          <w:rFonts w:hint="eastAsia" w:ascii="宋体" w:hAnsi="宋体" w:cs="宋体"/>
          <w:color w:val="auto"/>
          <w:sz w:val="24"/>
          <w:highlight w:val="none"/>
        </w:rPr>
        <w:t>21、需要调整的合同条款</w:t>
      </w:r>
      <w:bookmarkEnd w:id="715"/>
    </w:p>
    <w:p w14:paraId="4C71B106">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0"/>
        <w:rPr>
          <w:rFonts w:hint="eastAsia" w:ascii="宋体" w:hAnsi="宋体" w:cs="宋体"/>
          <w:color w:val="auto"/>
          <w:sz w:val="24"/>
          <w:highlight w:val="none"/>
        </w:rPr>
      </w:pPr>
      <w:bookmarkStart w:id="716" w:name="_Toc38747528"/>
      <w:r>
        <w:rPr>
          <w:rFonts w:hint="eastAsia" w:ascii="宋体" w:hAnsi="宋体" w:cs="宋体"/>
          <w:color w:val="auto"/>
          <w:sz w:val="24"/>
          <w:highlight w:val="none"/>
        </w:rPr>
        <w:t>（在签订合同时如需修改，在本条进行约定，但不得违背招标文件中合同主要条款约定的实质性内容)</w:t>
      </w:r>
      <w:bookmarkEnd w:id="716"/>
    </w:p>
    <w:p w14:paraId="550704DB">
      <w:pPr>
        <w:spacing w:before="240" w:after="60"/>
        <w:ind w:left="420"/>
        <w:jc w:val="center"/>
        <w:outlineLvl w:val="0"/>
        <w:rPr>
          <w:rFonts w:hint="eastAsia" w:ascii="宋体" w:hAnsi="宋体"/>
          <w:b/>
          <w:bCs/>
          <w:color w:val="auto"/>
          <w:sz w:val="32"/>
          <w:szCs w:val="32"/>
          <w:highlight w:val="none"/>
          <w:u w:val="single"/>
          <w:lang w:val="zh-CN"/>
        </w:rPr>
      </w:pPr>
    </w:p>
    <w:p w14:paraId="11958C62">
      <w:pPr>
        <w:jc w:val="left"/>
        <w:rPr>
          <w:rFonts w:hint="eastAsia"/>
          <w:color w:val="auto"/>
          <w:highlight w:val="none"/>
          <w:u w:val="single"/>
          <w:lang w:val="zh-CN"/>
        </w:rPr>
      </w:pPr>
    </w:p>
    <w:p w14:paraId="275E2F76">
      <w:pPr>
        <w:pStyle w:val="12"/>
        <w:rPr>
          <w:rFonts w:hint="eastAsia"/>
          <w:color w:val="auto"/>
          <w:highlight w:val="none"/>
          <w:lang w:val="zh-CN"/>
        </w:rPr>
      </w:pPr>
    </w:p>
    <w:p w14:paraId="6D87B3EB">
      <w:pPr>
        <w:adjustRightInd w:val="0"/>
        <w:snapToGrid w:val="0"/>
        <w:outlineLvl w:val="0"/>
        <w:rPr>
          <w:rFonts w:hint="eastAsia" w:ascii="宋体" w:hAnsi="宋体"/>
          <w:b/>
          <w:bCs/>
          <w:color w:val="auto"/>
          <w:sz w:val="28"/>
          <w:szCs w:val="28"/>
          <w:highlight w:val="none"/>
          <w:lang w:val="zh-CN"/>
        </w:rPr>
      </w:pPr>
    </w:p>
    <w:p w14:paraId="701DD565">
      <w:pPr>
        <w:adjustRightInd w:val="0"/>
        <w:snapToGrid w:val="0"/>
        <w:outlineLvl w:val="0"/>
        <w:rPr>
          <w:rFonts w:hint="eastAsia" w:ascii="宋体" w:hAnsi="宋体"/>
          <w:b/>
          <w:bCs/>
          <w:color w:val="auto"/>
          <w:sz w:val="28"/>
          <w:szCs w:val="28"/>
          <w:highlight w:val="none"/>
          <w:lang w:val="zh-CN"/>
        </w:rPr>
      </w:pPr>
    </w:p>
    <w:p w14:paraId="69D121D5">
      <w:pPr>
        <w:adjustRightInd w:val="0"/>
        <w:snapToGrid w:val="0"/>
        <w:outlineLvl w:val="0"/>
        <w:rPr>
          <w:rFonts w:hint="eastAsia" w:ascii="宋体" w:hAnsi="宋体"/>
          <w:b/>
          <w:bCs/>
          <w:color w:val="auto"/>
          <w:sz w:val="28"/>
          <w:szCs w:val="28"/>
          <w:highlight w:val="none"/>
          <w:lang w:val="zh-CN"/>
        </w:rPr>
      </w:pPr>
    </w:p>
    <w:p w14:paraId="23E1A202">
      <w:pPr>
        <w:adjustRightInd w:val="0"/>
        <w:snapToGrid w:val="0"/>
        <w:outlineLvl w:val="0"/>
        <w:rPr>
          <w:rFonts w:hint="eastAsia" w:ascii="宋体" w:hAnsi="宋体"/>
          <w:b/>
          <w:bCs/>
          <w:color w:val="auto"/>
          <w:sz w:val="28"/>
          <w:szCs w:val="28"/>
          <w:highlight w:val="none"/>
          <w:lang w:val="zh-CN"/>
        </w:rPr>
      </w:pPr>
    </w:p>
    <w:p w14:paraId="2DACC084">
      <w:pPr>
        <w:adjustRightInd w:val="0"/>
        <w:snapToGrid w:val="0"/>
        <w:outlineLvl w:val="0"/>
        <w:rPr>
          <w:rFonts w:hint="eastAsia" w:ascii="宋体" w:hAnsi="宋体"/>
          <w:b/>
          <w:bCs/>
          <w:color w:val="auto"/>
          <w:sz w:val="28"/>
          <w:szCs w:val="28"/>
          <w:highlight w:val="none"/>
          <w:lang w:val="zh-CN"/>
        </w:rPr>
      </w:pPr>
    </w:p>
    <w:p w14:paraId="686B2D28">
      <w:pPr>
        <w:adjustRightInd w:val="0"/>
        <w:snapToGrid w:val="0"/>
        <w:outlineLvl w:val="0"/>
        <w:rPr>
          <w:rFonts w:hint="eastAsia" w:ascii="宋体" w:hAnsi="宋体"/>
          <w:b/>
          <w:bCs/>
          <w:color w:val="auto"/>
          <w:sz w:val="28"/>
          <w:szCs w:val="28"/>
          <w:highlight w:val="none"/>
          <w:lang w:val="zh-CN"/>
        </w:rPr>
      </w:pPr>
    </w:p>
    <w:p w14:paraId="56110622">
      <w:pPr>
        <w:adjustRightInd w:val="0"/>
        <w:snapToGrid w:val="0"/>
        <w:outlineLvl w:val="0"/>
        <w:rPr>
          <w:rFonts w:ascii="宋体" w:hAnsi="宋体"/>
          <w:b/>
          <w:bCs/>
          <w:color w:val="auto"/>
          <w:sz w:val="28"/>
          <w:szCs w:val="28"/>
          <w:highlight w:val="none"/>
          <w:lang w:val="zh-CN"/>
        </w:rPr>
      </w:pPr>
      <w:r>
        <w:rPr>
          <w:rFonts w:hint="eastAsia" w:ascii="宋体" w:hAnsi="宋体"/>
          <w:b/>
          <w:bCs/>
          <w:color w:val="auto"/>
          <w:sz w:val="28"/>
          <w:szCs w:val="28"/>
          <w:highlight w:val="none"/>
          <w:lang w:val="zh-CN"/>
        </w:rPr>
        <w:t>附件</w:t>
      </w:r>
      <w:r>
        <w:rPr>
          <w:rFonts w:hint="eastAsia" w:ascii="宋体" w:hAnsi="宋体"/>
          <w:b/>
          <w:bCs/>
          <w:color w:val="auto"/>
          <w:sz w:val="28"/>
          <w:szCs w:val="28"/>
          <w:highlight w:val="none"/>
          <w:lang w:val="en-US" w:eastAsia="zh-CN"/>
        </w:rPr>
        <w:t>一</w:t>
      </w:r>
      <w:r>
        <w:rPr>
          <w:rFonts w:hint="eastAsia" w:ascii="宋体" w:hAnsi="宋体"/>
          <w:b/>
          <w:bCs/>
          <w:color w:val="auto"/>
          <w:sz w:val="28"/>
          <w:szCs w:val="28"/>
          <w:highlight w:val="none"/>
          <w:lang w:val="zh-CN"/>
        </w:rPr>
        <w:t>：</w:t>
      </w:r>
    </w:p>
    <w:p w14:paraId="4C8E9F97">
      <w:pPr>
        <w:spacing w:before="98"/>
        <w:ind w:left="288" w:right="304"/>
        <w:jc w:val="center"/>
        <w:outlineLvl w:val="1"/>
        <w:rPr>
          <w:rFonts w:ascii="黑体" w:hAnsi="黑体" w:eastAsia="黑体" w:cs="黑体"/>
          <w:b/>
          <w:bCs/>
          <w:color w:val="auto"/>
          <w:kern w:val="0"/>
          <w:sz w:val="32"/>
          <w:szCs w:val="32"/>
          <w:highlight w:val="none"/>
          <w:lang w:val="zh-CN" w:bidi="zh-CN"/>
        </w:rPr>
      </w:pPr>
      <w:r>
        <w:rPr>
          <w:rFonts w:hint="eastAsia" w:ascii="黑体" w:hAnsi="黑体" w:eastAsia="黑体" w:cs="黑体"/>
          <w:b/>
          <w:bCs/>
          <w:color w:val="auto"/>
          <w:kern w:val="0"/>
          <w:sz w:val="32"/>
          <w:szCs w:val="32"/>
          <w:highlight w:val="none"/>
          <w:lang w:val="zh-CN" w:bidi="zh-CN"/>
        </w:rPr>
        <w:t>工程质量保修书</w:t>
      </w:r>
    </w:p>
    <w:p w14:paraId="4B1D2B1C">
      <w:pPr>
        <w:spacing w:line="360" w:lineRule="auto"/>
        <w:ind w:firstLine="530" w:firstLineChars="200"/>
        <w:jc w:val="left"/>
        <w:rPr>
          <w:rFonts w:hint="eastAsia" w:ascii="宋体" w:hAnsi="宋体" w:eastAsia="宋体" w:cs="宋体"/>
          <w:b/>
          <w:color w:val="auto"/>
          <w:kern w:val="0"/>
          <w:sz w:val="24"/>
          <w:szCs w:val="24"/>
          <w:highlight w:val="none"/>
          <w:u w:val="single"/>
          <w:lang w:eastAsia="zh-CN" w:bidi="en-US"/>
        </w:rPr>
      </w:pPr>
      <w:r>
        <w:rPr>
          <w:rFonts w:hint="eastAsia" w:ascii="宋体" w:hAnsi="宋体" w:cs="宋体"/>
          <w:b/>
          <w:color w:val="auto"/>
          <w:spacing w:val="12"/>
          <w:kern w:val="0"/>
          <w:sz w:val="24"/>
          <w:szCs w:val="24"/>
          <w:highlight w:val="none"/>
          <w:lang w:bidi="en-US"/>
        </w:rPr>
        <w:t>发包人（全称）：</w:t>
      </w:r>
      <w:r>
        <w:rPr>
          <w:rFonts w:hint="eastAsia" w:ascii="宋体" w:hAnsi="宋体" w:cs="宋体"/>
          <w:b/>
          <w:color w:val="auto"/>
          <w:kern w:val="0"/>
          <w:sz w:val="24"/>
          <w:szCs w:val="24"/>
          <w:highlight w:val="none"/>
          <w:u w:val="single"/>
          <w:lang w:eastAsia="zh-CN" w:bidi="en-US"/>
        </w:rPr>
        <w:t>无锡前丰农业有限公司</w:t>
      </w:r>
    </w:p>
    <w:p w14:paraId="0114F2B9">
      <w:pPr>
        <w:spacing w:line="360" w:lineRule="auto"/>
        <w:ind w:firstLine="530" w:firstLineChars="200"/>
        <w:jc w:val="left"/>
        <w:rPr>
          <w:rFonts w:ascii="宋体" w:hAnsi="宋体" w:eastAsia="Times New Roman" w:cs="宋体"/>
          <w:b/>
          <w:color w:val="auto"/>
          <w:kern w:val="0"/>
          <w:sz w:val="22"/>
          <w:szCs w:val="22"/>
          <w:highlight w:val="none"/>
          <w:lang w:bidi="en-US"/>
        </w:rPr>
      </w:pPr>
      <w:r>
        <w:rPr>
          <w:rFonts w:hint="eastAsia" w:ascii="宋体" w:hAnsi="宋体" w:cs="宋体"/>
          <w:b/>
          <w:color w:val="auto"/>
          <w:spacing w:val="12"/>
          <w:kern w:val="0"/>
          <w:sz w:val="24"/>
          <w:szCs w:val="24"/>
          <w:highlight w:val="none"/>
          <w:lang w:bidi="en-US"/>
        </w:rPr>
        <w:t>承包人（全称）：</w:t>
      </w:r>
      <w:r>
        <w:rPr>
          <w:rFonts w:hint="eastAsia" w:ascii="宋体" w:hAnsi="宋体" w:cs="宋体"/>
          <w:b/>
          <w:color w:val="auto"/>
          <w:kern w:val="0"/>
          <w:sz w:val="24"/>
          <w:szCs w:val="24"/>
          <w:highlight w:val="none"/>
          <w:u w:val="single"/>
          <w:lang w:bidi="en-US"/>
        </w:rPr>
        <w:t xml:space="preserve"> </w:t>
      </w:r>
      <w:r>
        <w:rPr>
          <w:rFonts w:ascii="宋体" w:hAnsi="宋体" w:cs="宋体"/>
          <w:b/>
          <w:color w:val="auto"/>
          <w:kern w:val="0"/>
          <w:sz w:val="24"/>
          <w:szCs w:val="24"/>
          <w:highlight w:val="none"/>
          <w:u w:val="single"/>
          <w:lang w:bidi="en-US"/>
        </w:rPr>
        <w:t xml:space="preserve">                     </w:t>
      </w:r>
      <w:r>
        <w:rPr>
          <w:rFonts w:hint="eastAsia" w:ascii="宋体" w:hAnsi="宋体" w:eastAsia="Times New Roman" w:cs="宋体"/>
          <w:b/>
          <w:color w:val="auto"/>
          <w:kern w:val="0"/>
          <w:sz w:val="24"/>
          <w:szCs w:val="24"/>
          <w:highlight w:val="none"/>
          <w:lang w:bidi="en-US"/>
        </w:rPr>
        <w:t xml:space="preserve">       </w:t>
      </w:r>
      <w:r>
        <w:rPr>
          <w:rFonts w:hint="eastAsia" w:ascii="宋体" w:hAnsi="宋体" w:eastAsia="Times New Roman" w:cs="宋体"/>
          <w:b/>
          <w:color w:val="auto"/>
          <w:kern w:val="0"/>
          <w:sz w:val="22"/>
          <w:szCs w:val="22"/>
          <w:highlight w:val="none"/>
          <w:lang w:bidi="en-US"/>
        </w:rPr>
        <w:t xml:space="preserve"> </w:t>
      </w:r>
    </w:p>
    <w:p w14:paraId="4C2B5AA1">
      <w:pPr>
        <w:widowControl/>
        <w:spacing w:line="360" w:lineRule="auto"/>
        <w:ind w:firstLine="480" w:firstLineChars="200"/>
        <w:jc w:val="left"/>
        <w:rPr>
          <w:rFonts w:ascii="宋体" w:hAnsi="宋体"/>
          <w:color w:val="auto"/>
          <w:kern w:val="0"/>
          <w:sz w:val="24"/>
          <w:szCs w:val="22"/>
          <w:highlight w:val="none"/>
        </w:rPr>
      </w:pPr>
      <w:r>
        <w:rPr>
          <w:rFonts w:hint="eastAsia" w:ascii="宋体" w:hAnsi="宋体"/>
          <w:color w:val="auto"/>
          <w:kern w:val="0"/>
          <w:sz w:val="24"/>
          <w:szCs w:val="22"/>
          <w:highlight w:val="none"/>
        </w:rPr>
        <w:t>发包人和承包人根据《中华人民共和国建筑法》和《建设工程质量管理条例》，经协商一致，就</w:t>
      </w:r>
      <w:r>
        <w:rPr>
          <w:rFonts w:hint="eastAsia" w:ascii="宋体" w:hAnsi="宋体"/>
          <w:b/>
          <w:bCs/>
          <w:color w:val="auto"/>
          <w:kern w:val="0"/>
          <w:sz w:val="24"/>
          <w:szCs w:val="22"/>
          <w:highlight w:val="none"/>
          <w:u w:val="single"/>
        </w:rPr>
        <w:t>2026年第二批次城市更新提优市政修复零星工程</w:t>
      </w:r>
      <w:r>
        <w:rPr>
          <w:rFonts w:hint="eastAsia" w:ascii="宋体" w:hAnsi="宋体"/>
          <w:color w:val="auto"/>
          <w:kern w:val="0"/>
          <w:sz w:val="24"/>
          <w:szCs w:val="22"/>
          <w:highlight w:val="none"/>
        </w:rPr>
        <w:t>（工程全称）签订工程质量保修书。</w:t>
      </w:r>
    </w:p>
    <w:p w14:paraId="5636B86A">
      <w:pPr>
        <w:widowControl/>
        <w:numPr>
          <w:ilvl w:val="0"/>
          <w:numId w:val="0"/>
        </w:numPr>
        <w:spacing w:line="360" w:lineRule="auto"/>
        <w:ind w:firstLine="440" w:firstLineChars="200"/>
        <w:jc w:val="left"/>
        <w:rPr>
          <w:rFonts w:ascii="宋体" w:hAnsi="宋体"/>
          <w:color w:val="auto"/>
          <w:kern w:val="0"/>
          <w:sz w:val="22"/>
          <w:szCs w:val="22"/>
          <w:highlight w:val="none"/>
          <w:lang w:bidi="en-US"/>
        </w:rPr>
      </w:pPr>
      <w:r>
        <w:rPr>
          <w:rFonts w:hint="eastAsia" w:ascii="宋体" w:hAnsi="宋体" w:eastAsia="宋体" w:cs="Times New Roman"/>
          <w:color w:val="auto"/>
          <w:kern w:val="0"/>
          <w:sz w:val="22"/>
          <w:szCs w:val="22"/>
          <w:highlight w:val="none"/>
          <w:lang w:val="en-US" w:eastAsia="zh-CN" w:bidi="en-US"/>
        </w:rPr>
        <w:t>一、</w:t>
      </w:r>
      <w:r>
        <w:rPr>
          <w:rFonts w:hint="eastAsia" w:ascii="宋体" w:hAnsi="宋体"/>
          <w:color w:val="auto"/>
          <w:kern w:val="0"/>
          <w:sz w:val="22"/>
          <w:szCs w:val="22"/>
          <w:highlight w:val="none"/>
          <w:lang w:bidi="en-US"/>
        </w:rPr>
        <w:t>工程质量保修范围和内容</w:t>
      </w:r>
    </w:p>
    <w:p w14:paraId="0DD38653">
      <w:pPr>
        <w:spacing w:line="360" w:lineRule="auto"/>
        <w:ind w:firstLine="480" w:firstLineChars="200"/>
        <w:jc w:val="left"/>
        <w:rPr>
          <w:rFonts w:ascii="宋体" w:hAnsi="宋体"/>
          <w:color w:val="auto"/>
          <w:kern w:val="0"/>
          <w:sz w:val="22"/>
          <w:szCs w:val="22"/>
          <w:highlight w:val="none"/>
          <w:lang w:bidi="en-US"/>
        </w:rPr>
      </w:pPr>
      <w:r>
        <w:rPr>
          <w:rFonts w:hint="eastAsia" w:ascii="宋体" w:hAnsi="宋体"/>
          <w:color w:val="auto"/>
          <w:kern w:val="0"/>
          <w:sz w:val="24"/>
          <w:szCs w:val="22"/>
          <w:highlight w:val="none"/>
        </w:rPr>
        <w:t>承包人在质量保修期内，按照有关法律规定和合同约定，承担工程质量保修责任。</w:t>
      </w:r>
    </w:p>
    <w:p w14:paraId="2F97D8FA">
      <w:pPr>
        <w:spacing w:line="360" w:lineRule="auto"/>
        <w:ind w:firstLine="480" w:firstLineChars="200"/>
        <w:jc w:val="left"/>
        <w:rPr>
          <w:rFonts w:ascii="宋体" w:hAnsi="宋体"/>
          <w:color w:val="auto"/>
          <w:kern w:val="0"/>
          <w:sz w:val="22"/>
          <w:szCs w:val="22"/>
          <w:highlight w:val="none"/>
          <w:u w:val="single"/>
          <w:lang w:bidi="en-US"/>
        </w:rPr>
      </w:pPr>
      <w:r>
        <w:rPr>
          <w:rFonts w:hint="eastAsia" w:ascii="宋体" w:hAnsi="宋体"/>
          <w:color w:val="auto"/>
          <w:kern w:val="0"/>
          <w:sz w:val="24"/>
          <w:szCs w:val="22"/>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auto"/>
          <w:kern w:val="0"/>
          <w:sz w:val="24"/>
          <w:szCs w:val="22"/>
          <w:highlight w:val="none"/>
          <w:u w:val="single"/>
        </w:rPr>
        <w:t xml:space="preserve">  承包人按承担施工的全部范围内容进行保修  </w:t>
      </w:r>
      <w:r>
        <w:rPr>
          <w:rFonts w:hint="eastAsia" w:ascii="宋体" w:hAnsi="宋体"/>
          <w:color w:val="auto"/>
          <w:kern w:val="0"/>
          <w:sz w:val="24"/>
          <w:szCs w:val="22"/>
          <w:highlight w:val="none"/>
        </w:rPr>
        <w:t>。</w:t>
      </w:r>
    </w:p>
    <w:p w14:paraId="34452315">
      <w:pPr>
        <w:widowControl/>
        <w:spacing w:line="360" w:lineRule="auto"/>
        <w:ind w:firstLine="480" w:firstLineChars="200"/>
        <w:jc w:val="left"/>
        <w:rPr>
          <w:rFonts w:ascii="宋体" w:hAnsi="宋体"/>
          <w:color w:val="auto"/>
          <w:kern w:val="0"/>
          <w:sz w:val="24"/>
          <w:szCs w:val="22"/>
          <w:highlight w:val="none"/>
        </w:rPr>
      </w:pPr>
      <w:r>
        <w:rPr>
          <w:rFonts w:hint="eastAsia" w:ascii="宋体" w:hAnsi="宋体"/>
          <w:color w:val="auto"/>
          <w:kern w:val="0"/>
          <w:sz w:val="24"/>
          <w:szCs w:val="22"/>
          <w:highlight w:val="none"/>
        </w:rPr>
        <w:t>二、质量保修期</w:t>
      </w:r>
    </w:p>
    <w:p w14:paraId="2A70015A">
      <w:pPr>
        <w:widowControl/>
        <w:spacing w:line="360" w:lineRule="auto"/>
        <w:ind w:firstLine="480" w:firstLineChars="200"/>
        <w:jc w:val="left"/>
        <w:rPr>
          <w:rFonts w:ascii="宋体" w:hAnsi="宋体"/>
          <w:color w:val="auto"/>
          <w:kern w:val="0"/>
          <w:sz w:val="24"/>
          <w:szCs w:val="22"/>
          <w:highlight w:val="none"/>
        </w:rPr>
      </w:pPr>
      <w:r>
        <w:rPr>
          <w:rFonts w:hint="eastAsia" w:ascii="宋体" w:hAnsi="宋体"/>
          <w:color w:val="auto"/>
          <w:kern w:val="0"/>
          <w:sz w:val="24"/>
          <w:szCs w:val="22"/>
          <w:highlight w:val="none"/>
        </w:rPr>
        <w:t>根据《建设工程质量管理条例》及有关规定，工程的质量保修期如下：</w:t>
      </w:r>
    </w:p>
    <w:p w14:paraId="789FCA61">
      <w:pPr>
        <w:widowControl/>
        <w:ind w:firstLine="480" w:firstLineChars="200"/>
        <w:jc w:val="left"/>
        <w:rPr>
          <w:rFonts w:ascii="宋体" w:hAnsi="宋体"/>
          <w:color w:val="auto"/>
          <w:kern w:val="0"/>
          <w:sz w:val="24"/>
          <w:szCs w:val="22"/>
          <w:highlight w:val="none"/>
        </w:rPr>
      </w:pPr>
      <w:r>
        <w:rPr>
          <w:rFonts w:hint="eastAsia" w:ascii="宋体" w:hAnsi="宋体"/>
          <w:color w:val="auto"/>
          <w:kern w:val="0"/>
          <w:sz w:val="24"/>
          <w:szCs w:val="22"/>
          <w:highlight w:val="none"/>
        </w:rPr>
        <w:t>1．地基基础工程和主体结构工程为设计文件规定的工程合理使用年限；</w:t>
      </w:r>
    </w:p>
    <w:p w14:paraId="7B099BF2">
      <w:pPr>
        <w:widowControl/>
        <w:spacing w:line="360" w:lineRule="auto"/>
        <w:ind w:firstLine="480" w:firstLineChars="200"/>
        <w:jc w:val="left"/>
        <w:rPr>
          <w:rFonts w:ascii="宋体" w:hAnsi="宋体"/>
          <w:color w:val="auto"/>
          <w:kern w:val="0"/>
          <w:sz w:val="24"/>
          <w:szCs w:val="22"/>
          <w:highlight w:val="none"/>
        </w:rPr>
      </w:pPr>
      <w:r>
        <w:rPr>
          <w:rFonts w:hint="eastAsia" w:ascii="宋体" w:hAnsi="宋体"/>
          <w:color w:val="auto"/>
          <w:kern w:val="0"/>
          <w:sz w:val="24"/>
          <w:szCs w:val="22"/>
          <w:highlight w:val="none"/>
        </w:rPr>
        <w:t>2．屋面防水工程、有防水要求的卫生间、房间和外墙面的防渗为</w:t>
      </w:r>
      <w:r>
        <w:rPr>
          <w:rFonts w:hint="eastAsia" w:ascii="宋体" w:hAnsi="宋体"/>
          <w:color w:val="auto"/>
          <w:kern w:val="0"/>
          <w:sz w:val="24"/>
          <w:szCs w:val="22"/>
          <w:highlight w:val="none"/>
          <w:u w:val="single"/>
        </w:rPr>
        <w:t xml:space="preserve">   5   </w:t>
      </w:r>
      <w:r>
        <w:rPr>
          <w:rFonts w:hint="eastAsia" w:ascii="宋体" w:hAnsi="宋体"/>
          <w:color w:val="auto"/>
          <w:kern w:val="0"/>
          <w:sz w:val="24"/>
          <w:szCs w:val="22"/>
          <w:highlight w:val="none"/>
        </w:rPr>
        <w:t>年；</w:t>
      </w:r>
    </w:p>
    <w:p w14:paraId="0E168F5D">
      <w:pPr>
        <w:widowControl/>
        <w:spacing w:line="360" w:lineRule="auto"/>
        <w:ind w:firstLine="480" w:firstLineChars="200"/>
        <w:jc w:val="left"/>
        <w:rPr>
          <w:rFonts w:ascii="宋体" w:hAnsi="宋体"/>
          <w:color w:val="auto"/>
          <w:kern w:val="0"/>
          <w:sz w:val="24"/>
          <w:szCs w:val="22"/>
          <w:highlight w:val="none"/>
        </w:rPr>
      </w:pPr>
      <w:r>
        <w:rPr>
          <w:rFonts w:hint="eastAsia" w:ascii="宋体" w:hAnsi="宋体"/>
          <w:color w:val="auto"/>
          <w:kern w:val="0"/>
          <w:sz w:val="24"/>
          <w:szCs w:val="22"/>
          <w:highlight w:val="none"/>
        </w:rPr>
        <w:t>3．装修工程为</w:t>
      </w:r>
      <w:r>
        <w:rPr>
          <w:rFonts w:hint="eastAsia" w:ascii="宋体" w:hAnsi="宋体"/>
          <w:color w:val="auto"/>
          <w:kern w:val="0"/>
          <w:sz w:val="24"/>
          <w:szCs w:val="22"/>
          <w:highlight w:val="none"/>
          <w:u w:val="single"/>
        </w:rPr>
        <w:t xml:space="preserve">  2  </w:t>
      </w:r>
      <w:r>
        <w:rPr>
          <w:rFonts w:hint="eastAsia" w:ascii="宋体" w:hAnsi="宋体"/>
          <w:color w:val="auto"/>
          <w:kern w:val="0"/>
          <w:sz w:val="24"/>
          <w:szCs w:val="22"/>
          <w:highlight w:val="none"/>
        </w:rPr>
        <w:t>年；</w:t>
      </w:r>
    </w:p>
    <w:p w14:paraId="3FDF3B30">
      <w:pPr>
        <w:widowControl/>
        <w:spacing w:line="360" w:lineRule="auto"/>
        <w:ind w:firstLine="480" w:firstLineChars="200"/>
        <w:jc w:val="left"/>
        <w:rPr>
          <w:rFonts w:ascii="宋体" w:hAnsi="宋体"/>
          <w:color w:val="auto"/>
          <w:kern w:val="0"/>
          <w:sz w:val="24"/>
          <w:szCs w:val="22"/>
          <w:highlight w:val="none"/>
        </w:rPr>
      </w:pPr>
      <w:r>
        <w:rPr>
          <w:rFonts w:hint="eastAsia" w:ascii="宋体" w:hAnsi="宋体"/>
          <w:color w:val="auto"/>
          <w:kern w:val="0"/>
          <w:sz w:val="24"/>
          <w:szCs w:val="22"/>
          <w:highlight w:val="none"/>
        </w:rPr>
        <w:t>4．电气管线、给排水管道、设备安装工程为</w:t>
      </w:r>
      <w:r>
        <w:rPr>
          <w:rFonts w:hint="eastAsia" w:ascii="宋体" w:hAnsi="宋体"/>
          <w:color w:val="auto"/>
          <w:kern w:val="0"/>
          <w:sz w:val="24"/>
          <w:szCs w:val="22"/>
          <w:highlight w:val="none"/>
          <w:u w:val="single"/>
        </w:rPr>
        <w:t xml:space="preserve">  2  </w:t>
      </w:r>
      <w:r>
        <w:rPr>
          <w:rFonts w:hint="eastAsia" w:ascii="宋体" w:hAnsi="宋体"/>
          <w:color w:val="auto"/>
          <w:kern w:val="0"/>
          <w:sz w:val="24"/>
          <w:szCs w:val="22"/>
          <w:highlight w:val="none"/>
        </w:rPr>
        <w:t>年；</w:t>
      </w:r>
    </w:p>
    <w:p w14:paraId="0F7C5CFF">
      <w:pPr>
        <w:widowControl/>
        <w:spacing w:line="360" w:lineRule="auto"/>
        <w:ind w:firstLine="480" w:firstLineChars="200"/>
        <w:jc w:val="left"/>
        <w:rPr>
          <w:rFonts w:ascii="宋体" w:hAnsi="宋体"/>
          <w:color w:val="auto"/>
          <w:kern w:val="0"/>
          <w:sz w:val="24"/>
          <w:szCs w:val="22"/>
          <w:highlight w:val="none"/>
        </w:rPr>
      </w:pPr>
      <w:r>
        <w:rPr>
          <w:rFonts w:hint="eastAsia" w:ascii="宋体" w:hAnsi="宋体"/>
          <w:color w:val="auto"/>
          <w:kern w:val="0"/>
          <w:sz w:val="24"/>
          <w:szCs w:val="22"/>
          <w:highlight w:val="none"/>
        </w:rPr>
        <w:t>5．供热与供冷系统为</w:t>
      </w:r>
      <w:r>
        <w:rPr>
          <w:rFonts w:hint="eastAsia" w:ascii="宋体" w:hAnsi="宋体"/>
          <w:color w:val="auto"/>
          <w:kern w:val="0"/>
          <w:sz w:val="24"/>
          <w:szCs w:val="22"/>
          <w:highlight w:val="none"/>
          <w:u w:val="single"/>
        </w:rPr>
        <w:t xml:space="preserve">  2  </w:t>
      </w:r>
      <w:r>
        <w:rPr>
          <w:rFonts w:hint="eastAsia" w:ascii="宋体" w:hAnsi="宋体"/>
          <w:color w:val="auto"/>
          <w:kern w:val="0"/>
          <w:sz w:val="24"/>
          <w:szCs w:val="22"/>
          <w:highlight w:val="none"/>
        </w:rPr>
        <w:t>个采暖期、供冷期；</w:t>
      </w:r>
    </w:p>
    <w:p w14:paraId="4EC746E6">
      <w:pPr>
        <w:widowControl/>
        <w:spacing w:line="360" w:lineRule="auto"/>
        <w:ind w:firstLine="480" w:firstLineChars="200"/>
        <w:jc w:val="left"/>
        <w:rPr>
          <w:rFonts w:ascii="宋体" w:hAnsi="宋体"/>
          <w:color w:val="auto"/>
          <w:kern w:val="0"/>
          <w:sz w:val="24"/>
          <w:szCs w:val="22"/>
          <w:highlight w:val="none"/>
        </w:rPr>
      </w:pPr>
      <w:r>
        <w:rPr>
          <w:rFonts w:hint="eastAsia" w:ascii="宋体" w:hAnsi="宋体"/>
          <w:color w:val="auto"/>
          <w:kern w:val="0"/>
          <w:sz w:val="24"/>
          <w:szCs w:val="22"/>
          <w:highlight w:val="none"/>
        </w:rPr>
        <w:t>6．住宅小区内的给排水设施、道路、等配套工程为</w:t>
      </w:r>
      <w:r>
        <w:rPr>
          <w:rFonts w:hint="eastAsia" w:ascii="宋体" w:hAnsi="宋体"/>
          <w:color w:val="auto"/>
          <w:kern w:val="0"/>
          <w:sz w:val="24"/>
          <w:szCs w:val="22"/>
          <w:highlight w:val="none"/>
          <w:u w:val="single"/>
        </w:rPr>
        <w:t xml:space="preserve">  2  </w:t>
      </w:r>
      <w:r>
        <w:rPr>
          <w:rFonts w:hint="eastAsia" w:ascii="宋体" w:hAnsi="宋体"/>
          <w:color w:val="auto"/>
          <w:kern w:val="0"/>
          <w:sz w:val="24"/>
          <w:szCs w:val="22"/>
          <w:highlight w:val="none"/>
        </w:rPr>
        <w:t>年；</w:t>
      </w:r>
    </w:p>
    <w:p w14:paraId="1A1367B5">
      <w:pPr>
        <w:widowControl/>
        <w:spacing w:line="360" w:lineRule="auto"/>
        <w:ind w:firstLine="480" w:firstLineChars="200"/>
        <w:jc w:val="left"/>
        <w:rPr>
          <w:rFonts w:ascii="宋体" w:hAnsi="宋体"/>
          <w:color w:val="auto"/>
          <w:kern w:val="0"/>
          <w:sz w:val="24"/>
          <w:szCs w:val="22"/>
          <w:highlight w:val="none"/>
        </w:rPr>
      </w:pPr>
      <w:r>
        <w:rPr>
          <w:rFonts w:hint="eastAsia" w:ascii="宋体" w:hAnsi="宋体"/>
          <w:color w:val="auto"/>
          <w:kern w:val="0"/>
          <w:sz w:val="24"/>
          <w:szCs w:val="22"/>
          <w:highlight w:val="none"/>
        </w:rPr>
        <w:t>7．其他项目保修期限约定如下：</w:t>
      </w:r>
      <w:r>
        <w:rPr>
          <w:rFonts w:hint="eastAsia" w:ascii="宋体" w:hAnsi="宋体"/>
          <w:color w:val="auto"/>
          <w:kern w:val="0"/>
          <w:sz w:val="24"/>
          <w:szCs w:val="22"/>
          <w:highlight w:val="none"/>
          <w:u w:val="single"/>
          <w:lang w:val="en-US" w:eastAsia="zh-CN"/>
        </w:rPr>
        <w:t>/。</w:t>
      </w:r>
    </w:p>
    <w:p w14:paraId="14CCAB96">
      <w:pPr>
        <w:spacing w:line="360" w:lineRule="auto"/>
        <w:ind w:firstLine="480" w:firstLineChars="200"/>
        <w:jc w:val="left"/>
        <w:rPr>
          <w:rFonts w:hint="eastAsia" w:ascii="宋体" w:hAnsi="宋体" w:eastAsia="宋体"/>
          <w:color w:val="auto"/>
          <w:kern w:val="0"/>
          <w:sz w:val="22"/>
          <w:szCs w:val="22"/>
          <w:highlight w:val="none"/>
          <w:lang w:val="en-US" w:eastAsia="zh-CN" w:bidi="en-US"/>
        </w:rPr>
      </w:pPr>
      <w:r>
        <w:rPr>
          <w:rFonts w:hint="eastAsia" w:ascii="宋体" w:hAnsi="宋体"/>
          <w:color w:val="auto"/>
          <w:kern w:val="0"/>
          <w:sz w:val="24"/>
          <w:szCs w:val="22"/>
          <w:highlight w:val="none"/>
        </w:rPr>
        <w:t>质量保修期自工程竣工验收合格之日起计算。</w:t>
      </w:r>
      <w:r>
        <w:rPr>
          <w:rFonts w:hint="eastAsia" w:ascii="宋体" w:hAnsi="宋体"/>
          <w:color w:val="auto"/>
          <w:kern w:val="0"/>
          <w:sz w:val="24"/>
          <w:szCs w:val="22"/>
          <w:highlight w:val="none"/>
          <w:lang w:val="en-US" w:eastAsia="zh-CN"/>
        </w:rPr>
        <w:tab/>
      </w:r>
    </w:p>
    <w:p w14:paraId="57303E1D">
      <w:pPr>
        <w:widowControl/>
        <w:spacing w:line="360" w:lineRule="auto"/>
        <w:ind w:firstLine="480" w:firstLineChars="200"/>
        <w:jc w:val="left"/>
        <w:rPr>
          <w:rFonts w:ascii="宋体" w:hAnsi="宋体"/>
          <w:color w:val="auto"/>
          <w:kern w:val="0"/>
          <w:sz w:val="24"/>
          <w:szCs w:val="22"/>
          <w:highlight w:val="none"/>
        </w:rPr>
      </w:pPr>
      <w:r>
        <w:rPr>
          <w:rFonts w:hint="eastAsia" w:ascii="宋体" w:hAnsi="宋体"/>
          <w:color w:val="auto"/>
          <w:kern w:val="0"/>
          <w:sz w:val="24"/>
          <w:szCs w:val="22"/>
          <w:highlight w:val="none"/>
        </w:rPr>
        <w:t>三、缺陷责任期</w:t>
      </w:r>
    </w:p>
    <w:p w14:paraId="7DC37DFC">
      <w:pPr>
        <w:widowControl/>
        <w:spacing w:line="360" w:lineRule="auto"/>
        <w:ind w:firstLine="480" w:firstLineChars="200"/>
        <w:jc w:val="left"/>
        <w:rPr>
          <w:rFonts w:ascii="宋体" w:hAnsi="宋体"/>
          <w:color w:val="auto"/>
          <w:kern w:val="0"/>
          <w:sz w:val="24"/>
          <w:szCs w:val="24"/>
          <w:highlight w:val="none"/>
        </w:rPr>
      </w:pPr>
      <w:r>
        <w:rPr>
          <w:rFonts w:hint="eastAsia" w:ascii="宋体" w:hAnsi="宋体"/>
          <w:color w:val="auto"/>
          <w:kern w:val="0"/>
          <w:sz w:val="24"/>
          <w:szCs w:val="22"/>
          <w:highlight w:val="none"/>
        </w:rPr>
        <w:t>工程缺陷责任期为</w:t>
      </w:r>
      <w:r>
        <w:rPr>
          <w:rFonts w:hint="eastAsia" w:ascii="宋体" w:hAnsi="宋体"/>
          <w:color w:val="auto"/>
          <w:kern w:val="0"/>
          <w:sz w:val="24"/>
          <w:szCs w:val="22"/>
          <w:highlight w:val="none"/>
          <w:u w:val="single"/>
        </w:rPr>
        <w:t xml:space="preserve">  24 </w:t>
      </w:r>
      <w:r>
        <w:rPr>
          <w:rFonts w:hint="eastAsia" w:ascii="宋体" w:hAnsi="宋体"/>
          <w:color w:val="auto"/>
          <w:kern w:val="0"/>
          <w:sz w:val="24"/>
          <w:szCs w:val="22"/>
          <w:highlight w:val="none"/>
        </w:rPr>
        <w:t>个月，缺陷责任期自工程竣工验收合格之日起计算。单位工</w:t>
      </w:r>
      <w:r>
        <w:rPr>
          <w:rFonts w:hint="eastAsia" w:ascii="宋体" w:hAnsi="宋体"/>
          <w:color w:val="auto"/>
          <w:kern w:val="0"/>
          <w:sz w:val="24"/>
          <w:szCs w:val="24"/>
          <w:highlight w:val="none"/>
        </w:rPr>
        <w:t>程先于全部工程进行验收，单位工程缺陷责任期自单位工程验收合格之日起算。</w:t>
      </w:r>
    </w:p>
    <w:p w14:paraId="71E2F473">
      <w:pPr>
        <w:spacing w:line="360" w:lineRule="auto"/>
        <w:ind w:firstLine="480" w:firstLineChars="200"/>
        <w:jc w:val="left"/>
        <w:rPr>
          <w:rFonts w:ascii="宋体" w:hAnsi="宋体"/>
          <w:color w:val="auto"/>
          <w:kern w:val="0"/>
          <w:sz w:val="24"/>
          <w:szCs w:val="24"/>
          <w:highlight w:val="none"/>
          <w:lang w:bidi="en-US"/>
        </w:rPr>
      </w:pPr>
      <w:r>
        <w:rPr>
          <w:rFonts w:hint="eastAsia" w:ascii="宋体" w:hAnsi="宋体"/>
          <w:color w:val="auto"/>
          <w:kern w:val="0"/>
          <w:sz w:val="24"/>
          <w:szCs w:val="24"/>
          <w:highlight w:val="none"/>
        </w:rPr>
        <w:t>缺陷责任期终止后，发包人应退还剩余的质量保证金。</w:t>
      </w:r>
    </w:p>
    <w:p w14:paraId="543ECE1C">
      <w:pPr>
        <w:spacing w:line="360" w:lineRule="auto"/>
        <w:ind w:firstLine="480" w:firstLineChars="200"/>
        <w:jc w:val="left"/>
        <w:rPr>
          <w:rFonts w:ascii="宋体" w:hAnsi="宋体"/>
          <w:color w:val="auto"/>
          <w:kern w:val="0"/>
          <w:sz w:val="24"/>
          <w:szCs w:val="24"/>
          <w:highlight w:val="none"/>
          <w:lang w:bidi="en-US"/>
        </w:rPr>
      </w:pPr>
      <w:r>
        <w:rPr>
          <w:rFonts w:hint="eastAsia" w:ascii="宋体" w:hAnsi="宋体" w:cs="宋体"/>
          <w:color w:val="auto"/>
          <w:kern w:val="0"/>
          <w:sz w:val="24"/>
          <w:szCs w:val="24"/>
          <w:highlight w:val="none"/>
          <w:lang w:bidi="en-US"/>
        </w:rPr>
        <w:t>四</w:t>
      </w:r>
      <w:r>
        <w:rPr>
          <w:rFonts w:hint="eastAsia" w:ascii="宋体" w:hAnsi="宋体"/>
          <w:color w:val="auto"/>
          <w:kern w:val="0"/>
          <w:sz w:val="24"/>
          <w:szCs w:val="24"/>
          <w:highlight w:val="none"/>
          <w:lang w:bidi="en-US"/>
        </w:rPr>
        <w:t>、质量保修责任</w:t>
      </w:r>
    </w:p>
    <w:p w14:paraId="7F15E84E">
      <w:pPr>
        <w:spacing w:line="360" w:lineRule="auto"/>
        <w:ind w:firstLine="480" w:firstLineChars="200"/>
        <w:jc w:val="left"/>
        <w:rPr>
          <w:rFonts w:ascii="宋体" w:hAnsi="宋体"/>
          <w:color w:val="auto"/>
          <w:kern w:val="0"/>
          <w:sz w:val="24"/>
          <w:szCs w:val="24"/>
          <w:highlight w:val="none"/>
          <w:lang w:bidi="en-US"/>
        </w:rPr>
      </w:pPr>
      <w:r>
        <w:rPr>
          <w:rFonts w:hint="eastAsia" w:ascii="宋体" w:hAnsi="宋体"/>
          <w:color w:val="auto"/>
          <w:kern w:val="0"/>
          <w:sz w:val="24"/>
          <w:szCs w:val="24"/>
          <w:highlight w:val="none"/>
          <w:lang w:bidi="en-US"/>
        </w:rPr>
        <w:t>1</w:t>
      </w:r>
      <w:r>
        <w:rPr>
          <w:rFonts w:ascii="宋体" w:hAnsi="宋体"/>
          <w:color w:val="auto"/>
          <w:kern w:val="0"/>
          <w:sz w:val="24"/>
          <w:szCs w:val="24"/>
          <w:highlight w:val="none"/>
          <w:lang w:bidi="en-US"/>
        </w:rPr>
        <w:t>.</w:t>
      </w:r>
      <w:r>
        <w:rPr>
          <w:rFonts w:hint="eastAsia" w:ascii="宋体" w:hAnsi="宋体"/>
          <w:color w:val="auto"/>
          <w:kern w:val="0"/>
          <w:sz w:val="24"/>
          <w:szCs w:val="24"/>
          <w:highlight w:val="none"/>
          <w:lang w:bidi="en-US"/>
        </w:rPr>
        <w:t>属于保修范围和内容的项目，承包人应在接到修理通知之日后7天内派人修理。承包人不在约定期限内派人修理，发包人可委托其他人员修理，保修费用从质量保修金内扣除。</w:t>
      </w:r>
    </w:p>
    <w:p w14:paraId="667FFC87">
      <w:pPr>
        <w:spacing w:line="360" w:lineRule="auto"/>
        <w:ind w:firstLine="480" w:firstLineChars="200"/>
        <w:jc w:val="left"/>
        <w:rPr>
          <w:rFonts w:ascii="宋体" w:hAnsi="宋体"/>
          <w:color w:val="auto"/>
          <w:kern w:val="0"/>
          <w:sz w:val="24"/>
          <w:szCs w:val="24"/>
          <w:highlight w:val="none"/>
          <w:lang w:bidi="en-US"/>
        </w:rPr>
      </w:pPr>
      <w:r>
        <w:rPr>
          <w:rFonts w:hint="eastAsia" w:ascii="宋体" w:hAnsi="宋体"/>
          <w:color w:val="auto"/>
          <w:kern w:val="0"/>
          <w:sz w:val="24"/>
          <w:szCs w:val="24"/>
          <w:highlight w:val="none"/>
          <w:lang w:bidi="en-US"/>
        </w:rPr>
        <w:t>2</w:t>
      </w:r>
      <w:r>
        <w:rPr>
          <w:rFonts w:ascii="宋体" w:hAnsi="宋体"/>
          <w:color w:val="auto"/>
          <w:kern w:val="0"/>
          <w:sz w:val="24"/>
          <w:szCs w:val="24"/>
          <w:highlight w:val="none"/>
          <w:lang w:bidi="en-US"/>
        </w:rPr>
        <w:t>.</w:t>
      </w:r>
      <w:r>
        <w:rPr>
          <w:rFonts w:hint="eastAsia" w:ascii="宋体" w:hAnsi="宋体"/>
          <w:color w:val="auto"/>
          <w:kern w:val="0"/>
          <w:sz w:val="24"/>
          <w:szCs w:val="24"/>
          <w:highlight w:val="none"/>
          <w:lang w:bidi="en-US"/>
        </w:rPr>
        <w:t>发生须紧急抢修事故（如上水跑水、暖气漏水漏气、燃气漏气等），承包人接到事故通知后，应立即到达事故现场抢修。非承包人施工质量引起的事故，抢修费用由发包人承担。</w:t>
      </w:r>
    </w:p>
    <w:p w14:paraId="2640B2AA">
      <w:pPr>
        <w:spacing w:line="360" w:lineRule="auto"/>
        <w:ind w:firstLine="480" w:firstLineChars="200"/>
        <w:jc w:val="left"/>
        <w:rPr>
          <w:rFonts w:ascii="宋体" w:hAnsi="宋体"/>
          <w:color w:val="auto"/>
          <w:kern w:val="0"/>
          <w:sz w:val="24"/>
          <w:szCs w:val="22"/>
          <w:highlight w:val="none"/>
        </w:rPr>
      </w:pPr>
      <w:r>
        <w:rPr>
          <w:rFonts w:hint="eastAsia" w:ascii="宋体" w:hAnsi="宋体"/>
          <w:color w:val="auto"/>
          <w:kern w:val="0"/>
          <w:sz w:val="24"/>
          <w:szCs w:val="24"/>
          <w:highlight w:val="none"/>
        </w:rPr>
        <w:t>3．对于涉及结构安全的质量问题，应当按照《建设工程质量管理条例》的规定，立</w:t>
      </w:r>
      <w:r>
        <w:rPr>
          <w:rFonts w:hint="eastAsia" w:ascii="宋体" w:hAnsi="宋体"/>
          <w:color w:val="auto"/>
          <w:kern w:val="0"/>
          <w:sz w:val="24"/>
          <w:szCs w:val="22"/>
          <w:highlight w:val="none"/>
        </w:rPr>
        <w:t>即向当地建设行政主管部门和有关部门报告，采取安全防范措施，并由原设计人或者具有相应资质等级的设计人提出保修方案，承包人实施保修。</w:t>
      </w:r>
    </w:p>
    <w:p w14:paraId="721DC4F9">
      <w:pPr>
        <w:spacing w:line="360" w:lineRule="auto"/>
        <w:ind w:firstLine="480" w:firstLineChars="200"/>
        <w:jc w:val="left"/>
        <w:rPr>
          <w:rFonts w:ascii="宋体" w:hAnsi="宋体"/>
          <w:color w:val="auto"/>
          <w:kern w:val="0"/>
          <w:sz w:val="24"/>
          <w:szCs w:val="22"/>
          <w:highlight w:val="none"/>
        </w:rPr>
      </w:pPr>
      <w:r>
        <w:rPr>
          <w:rFonts w:hint="eastAsia" w:ascii="宋体" w:hAnsi="宋体"/>
          <w:color w:val="auto"/>
          <w:kern w:val="0"/>
          <w:sz w:val="24"/>
          <w:szCs w:val="22"/>
          <w:highlight w:val="none"/>
        </w:rPr>
        <w:t>4．质量保修完成后，由发包人组织验收。</w:t>
      </w:r>
    </w:p>
    <w:p w14:paraId="35DA92F8">
      <w:pPr>
        <w:widowControl/>
        <w:spacing w:line="360" w:lineRule="auto"/>
        <w:ind w:firstLine="480" w:firstLineChars="200"/>
        <w:jc w:val="left"/>
        <w:rPr>
          <w:rFonts w:ascii="宋体" w:hAnsi="宋体"/>
          <w:color w:val="auto"/>
          <w:kern w:val="0"/>
          <w:sz w:val="24"/>
          <w:szCs w:val="22"/>
          <w:highlight w:val="none"/>
        </w:rPr>
      </w:pPr>
      <w:r>
        <w:rPr>
          <w:rFonts w:hint="eastAsia" w:ascii="宋体" w:hAnsi="宋体"/>
          <w:color w:val="auto"/>
          <w:kern w:val="0"/>
          <w:sz w:val="24"/>
          <w:szCs w:val="22"/>
          <w:highlight w:val="none"/>
        </w:rPr>
        <w:t>五、保修费用</w:t>
      </w:r>
    </w:p>
    <w:p w14:paraId="558951F5">
      <w:pPr>
        <w:widowControl/>
        <w:spacing w:line="360" w:lineRule="auto"/>
        <w:ind w:firstLine="480" w:firstLineChars="200"/>
        <w:jc w:val="left"/>
        <w:rPr>
          <w:rFonts w:hint="eastAsia" w:ascii="宋体" w:hAnsi="宋体"/>
          <w:color w:val="auto"/>
          <w:kern w:val="0"/>
          <w:sz w:val="24"/>
          <w:szCs w:val="22"/>
          <w:highlight w:val="none"/>
        </w:rPr>
      </w:pPr>
      <w:r>
        <w:rPr>
          <w:rFonts w:hint="eastAsia" w:ascii="宋体" w:hAnsi="宋体"/>
          <w:color w:val="auto"/>
          <w:kern w:val="0"/>
          <w:sz w:val="24"/>
          <w:szCs w:val="22"/>
          <w:highlight w:val="none"/>
        </w:rPr>
        <w:t>保修费用由造成质量缺陷的责任方承担。</w:t>
      </w:r>
    </w:p>
    <w:p w14:paraId="25E59DF6">
      <w:pPr>
        <w:widowControl/>
        <w:spacing w:line="360" w:lineRule="auto"/>
        <w:ind w:firstLine="480" w:firstLineChars="200"/>
        <w:jc w:val="left"/>
        <w:rPr>
          <w:rFonts w:ascii="宋体" w:hAnsi="宋体"/>
          <w:color w:val="auto"/>
          <w:kern w:val="0"/>
          <w:sz w:val="24"/>
          <w:szCs w:val="22"/>
          <w:highlight w:val="none"/>
          <w:u w:val="single"/>
        </w:rPr>
      </w:pPr>
      <w:r>
        <w:rPr>
          <w:rFonts w:hint="eastAsia" w:ascii="宋体" w:hAnsi="宋体"/>
          <w:b w:val="0"/>
          <w:bCs/>
          <w:color w:val="auto"/>
          <w:kern w:val="0"/>
          <w:sz w:val="24"/>
          <w:szCs w:val="22"/>
          <w:highlight w:val="none"/>
        </w:rPr>
        <w:t>六、</w:t>
      </w:r>
      <w:r>
        <w:rPr>
          <w:rFonts w:hint="eastAsia" w:ascii="宋体" w:hAnsi="宋体"/>
          <w:color w:val="auto"/>
          <w:kern w:val="0"/>
          <w:sz w:val="24"/>
          <w:szCs w:val="22"/>
          <w:highlight w:val="none"/>
        </w:rPr>
        <w:t>双方约定的其他工程质量保修事项：</w:t>
      </w:r>
      <w:r>
        <w:rPr>
          <w:rFonts w:hint="eastAsia" w:ascii="宋体" w:hAnsi="宋体"/>
          <w:color w:val="auto"/>
          <w:kern w:val="0"/>
          <w:sz w:val="24"/>
          <w:szCs w:val="22"/>
          <w:highlight w:val="none"/>
          <w:u w:val="single"/>
        </w:rPr>
        <w:t xml:space="preserve">                /                    </w:t>
      </w:r>
      <w:r>
        <w:rPr>
          <w:rFonts w:hint="eastAsia" w:ascii="宋体" w:hAnsi="宋体"/>
          <w:color w:val="auto"/>
          <w:kern w:val="0"/>
          <w:sz w:val="24"/>
          <w:szCs w:val="22"/>
          <w:highlight w:val="none"/>
        </w:rPr>
        <w:t>。</w:t>
      </w:r>
    </w:p>
    <w:p w14:paraId="7ECBCFFC">
      <w:pPr>
        <w:widowControl/>
        <w:spacing w:line="360" w:lineRule="auto"/>
        <w:ind w:firstLine="480" w:firstLineChars="200"/>
        <w:jc w:val="left"/>
        <w:rPr>
          <w:rFonts w:ascii="宋体" w:hAnsi="宋体"/>
          <w:color w:val="auto"/>
          <w:kern w:val="0"/>
          <w:sz w:val="22"/>
          <w:szCs w:val="22"/>
          <w:highlight w:val="none"/>
          <w:lang w:bidi="en-US"/>
        </w:rPr>
      </w:pPr>
      <w:r>
        <w:rPr>
          <w:rFonts w:hint="eastAsia" w:ascii="宋体" w:hAnsi="宋体"/>
          <w:color w:val="auto"/>
          <w:kern w:val="0"/>
          <w:sz w:val="24"/>
          <w:szCs w:val="22"/>
          <w:highlight w:val="none"/>
        </w:rPr>
        <w:t>工程质量保修书由发包人、承包人在工程竣工验收前共同签署，作为施工合同附件，其有效期限至保修期满。</w:t>
      </w:r>
    </w:p>
    <w:p w14:paraId="4FBD7BEC">
      <w:pPr>
        <w:spacing w:line="360" w:lineRule="auto"/>
        <w:ind w:firstLine="440" w:firstLineChars="200"/>
        <w:jc w:val="left"/>
        <w:rPr>
          <w:rFonts w:ascii="宋体" w:hAnsi="宋体" w:eastAsia="Times New Roman"/>
          <w:color w:val="auto"/>
          <w:kern w:val="0"/>
          <w:sz w:val="22"/>
          <w:szCs w:val="22"/>
          <w:highlight w:val="none"/>
          <w:lang w:bidi="en-US"/>
        </w:rPr>
      </w:pPr>
    </w:p>
    <w:p w14:paraId="34A82ACE">
      <w:pPr>
        <w:spacing w:line="360" w:lineRule="auto"/>
        <w:ind w:firstLine="440" w:firstLineChars="200"/>
        <w:jc w:val="left"/>
        <w:rPr>
          <w:rFonts w:ascii="宋体" w:hAnsi="宋体" w:eastAsia="Times New Roman"/>
          <w:color w:val="auto"/>
          <w:kern w:val="0"/>
          <w:sz w:val="22"/>
          <w:szCs w:val="22"/>
          <w:highlight w:val="none"/>
          <w:lang w:bidi="en-US"/>
        </w:rPr>
      </w:pPr>
    </w:p>
    <w:p w14:paraId="3EA86708">
      <w:pPr>
        <w:spacing w:line="360" w:lineRule="auto"/>
        <w:rPr>
          <w:rFonts w:ascii="宋体" w:hAnsi="宋体"/>
          <w:color w:val="auto"/>
          <w:sz w:val="24"/>
          <w:szCs w:val="24"/>
          <w:highlight w:val="none"/>
        </w:rPr>
      </w:pPr>
      <w:r>
        <w:rPr>
          <w:rFonts w:hint="eastAsia" w:ascii="宋体" w:hAnsi="宋体"/>
          <w:color w:val="auto"/>
          <w:sz w:val="24"/>
          <w:szCs w:val="24"/>
          <w:highlight w:val="none"/>
        </w:rPr>
        <w:t>发包人(公章)：</w:t>
      </w:r>
      <w:r>
        <w:rPr>
          <w:rFonts w:hint="eastAsia" w:ascii="宋体" w:hAnsi="宋体"/>
          <w:color w:val="auto"/>
          <w:sz w:val="24"/>
          <w:szCs w:val="24"/>
          <w:highlight w:val="none"/>
          <w:u w:val="single"/>
        </w:rPr>
        <w:t xml:space="preserve">        </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承包人(公章)：</w:t>
      </w:r>
      <w:r>
        <w:rPr>
          <w:rFonts w:hint="eastAsia" w:ascii="宋体" w:hAnsi="宋体"/>
          <w:color w:val="auto"/>
          <w:sz w:val="24"/>
          <w:szCs w:val="24"/>
          <w:highlight w:val="none"/>
          <w:u w:val="single"/>
        </w:rPr>
        <w:t xml:space="preserve">           </w:t>
      </w:r>
    </w:p>
    <w:p w14:paraId="3F4ED9FF">
      <w:pPr>
        <w:spacing w:line="360" w:lineRule="auto"/>
        <w:rPr>
          <w:rFonts w:ascii="宋体" w:hAnsi="宋体"/>
          <w:color w:val="auto"/>
          <w:sz w:val="24"/>
          <w:szCs w:val="24"/>
          <w:highlight w:val="none"/>
        </w:rPr>
      </w:pPr>
      <w:r>
        <w:rPr>
          <w:rFonts w:hint="eastAsia" w:ascii="宋体" w:hAnsi="宋体"/>
          <w:color w:val="auto"/>
          <w:sz w:val="24"/>
          <w:szCs w:val="24"/>
          <w:highlight w:val="none"/>
        </w:rPr>
        <w:t>地  址：</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 xml:space="preserve">  地  址：</w:t>
      </w:r>
      <w:r>
        <w:rPr>
          <w:rFonts w:hint="eastAsia" w:ascii="宋体" w:hAnsi="宋体"/>
          <w:color w:val="auto"/>
          <w:sz w:val="24"/>
          <w:szCs w:val="24"/>
          <w:highlight w:val="none"/>
          <w:u w:val="single"/>
        </w:rPr>
        <w:t xml:space="preserve">       </w:t>
      </w:r>
    </w:p>
    <w:p w14:paraId="62525632">
      <w:pPr>
        <w:spacing w:line="360" w:lineRule="auto"/>
        <w:rPr>
          <w:rFonts w:ascii="宋体" w:hAnsi="宋体"/>
          <w:color w:val="auto"/>
          <w:sz w:val="24"/>
          <w:szCs w:val="24"/>
          <w:highlight w:val="none"/>
        </w:rPr>
      </w:pPr>
      <w:r>
        <w:rPr>
          <w:rFonts w:hint="eastAsia" w:ascii="宋体" w:hAnsi="宋体"/>
          <w:color w:val="auto"/>
          <w:sz w:val="24"/>
          <w:szCs w:val="24"/>
          <w:highlight w:val="none"/>
        </w:rPr>
        <w:t>法定代表人(签字)：</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 xml:space="preserve">    法定代表人(签字)：</w:t>
      </w:r>
      <w:r>
        <w:rPr>
          <w:rFonts w:hint="eastAsia" w:ascii="宋体" w:hAnsi="宋体"/>
          <w:color w:val="auto"/>
          <w:sz w:val="24"/>
          <w:szCs w:val="24"/>
          <w:highlight w:val="none"/>
          <w:u w:val="single"/>
        </w:rPr>
        <w:t xml:space="preserve">       </w:t>
      </w:r>
    </w:p>
    <w:p w14:paraId="5629E086">
      <w:pPr>
        <w:spacing w:line="360" w:lineRule="auto"/>
        <w:rPr>
          <w:rFonts w:ascii="宋体" w:hAnsi="宋体"/>
          <w:color w:val="auto"/>
          <w:sz w:val="24"/>
          <w:szCs w:val="24"/>
          <w:highlight w:val="none"/>
        </w:rPr>
      </w:pPr>
      <w:r>
        <w:rPr>
          <w:rFonts w:hint="eastAsia" w:ascii="宋体" w:hAnsi="宋体"/>
          <w:color w:val="auto"/>
          <w:sz w:val="24"/>
          <w:szCs w:val="24"/>
          <w:highlight w:val="none"/>
        </w:rPr>
        <w:t>委托代理人(签字)：</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 xml:space="preserve">    委托代理人(签字)：</w:t>
      </w:r>
      <w:r>
        <w:rPr>
          <w:rFonts w:hint="eastAsia" w:ascii="宋体" w:hAnsi="宋体"/>
          <w:color w:val="auto"/>
          <w:sz w:val="24"/>
          <w:szCs w:val="24"/>
          <w:highlight w:val="none"/>
          <w:u w:val="single"/>
        </w:rPr>
        <w:t xml:space="preserve">       </w:t>
      </w:r>
    </w:p>
    <w:p w14:paraId="0A04EEC2">
      <w:pPr>
        <w:spacing w:line="360" w:lineRule="auto"/>
        <w:rPr>
          <w:rFonts w:ascii="宋体" w:hAnsi="宋体"/>
          <w:color w:val="auto"/>
          <w:sz w:val="24"/>
          <w:szCs w:val="24"/>
          <w:highlight w:val="none"/>
        </w:rPr>
      </w:pPr>
      <w:r>
        <w:rPr>
          <w:rFonts w:hint="eastAsia" w:ascii="宋体" w:hAnsi="宋体"/>
          <w:color w:val="auto"/>
          <w:sz w:val="24"/>
          <w:szCs w:val="24"/>
          <w:highlight w:val="none"/>
        </w:rPr>
        <w:t>电  话：</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 xml:space="preserve">     电  话：</w:t>
      </w:r>
      <w:r>
        <w:rPr>
          <w:rFonts w:hint="eastAsia" w:ascii="宋体" w:hAnsi="宋体"/>
          <w:color w:val="auto"/>
          <w:sz w:val="24"/>
          <w:szCs w:val="24"/>
          <w:highlight w:val="none"/>
          <w:u w:val="single"/>
        </w:rPr>
        <w:t xml:space="preserve">     </w:t>
      </w:r>
    </w:p>
    <w:p w14:paraId="1539CE76">
      <w:pPr>
        <w:spacing w:line="360" w:lineRule="auto"/>
        <w:rPr>
          <w:rFonts w:ascii="宋体" w:hAnsi="宋体"/>
          <w:color w:val="auto"/>
          <w:sz w:val="24"/>
          <w:szCs w:val="24"/>
          <w:highlight w:val="none"/>
        </w:rPr>
      </w:pPr>
      <w:r>
        <w:rPr>
          <w:rFonts w:hint="eastAsia" w:ascii="宋体" w:hAnsi="宋体"/>
          <w:color w:val="auto"/>
          <w:sz w:val="24"/>
          <w:szCs w:val="24"/>
          <w:highlight w:val="none"/>
        </w:rPr>
        <w:t>传  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 xml:space="preserve">    传  真：</w:t>
      </w:r>
      <w:r>
        <w:rPr>
          <w:rFonts w:hint="eastAsia" w:ascii="宋体" w:hAnsi="宋体"/>
          <w:color w:val="auto"/>
          <w:sz w:val="24"/>
          <w:szCs w:val="24"/>
          <w:highlight w:val="none"/>
          <w:u w:val="single"/>
        </w:rPr>
        <w:t xml:space="preserve">     </w:t>
      </w:r>
    </w:p>
    <w:p w14:paraId="6A3BC8AD">
      <w:pPr>
        <w:spacing w:line="360" w:lineRule="auto"/>
        <w:rPr>
          <w:rFonts w:ascii="宋体" w:hAnsi="宋体"/>
          <w:color w:val="auto"/>
          <w:sz w:val="24"/>
          <w:szCs w:val="24"/>
          <w:highlight w:val="none"/>
        </w:rPr>
      </w:pPr>
      <w:r>
        <w:rPr>
          <w:rFonts w:hint="eastAsia" w:ascii="宋体" w:hAnsi="宋体"/>
          <w:color w:val="auto"/>
          <w:sz w:val="24"/>
          <w:szCs w:val="24"/>
          <w:highlight w:val="none"/>
        </w:rPr>
        <w:t>开户银行：</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 xml:space="preserve">    开户银行：</w:t>
      </w:r>
      <w:r>
        <w:rPr>
          <w:rFonts w:hint="eastAsia" w:ascii="宋体" w:hAnsi="宋体"/>
          <w:color w:val="auto"/>
          <w:sz w:val="24"/>
          <w:szCs w:val="24"/>
          <w:highlight w:val="none"/>
          <w:u w:val="single"/>
        </w:rPr>
        <w:t xml:space="preserve">   </w:t>
      </w:r>
    </w:p>
    <w:p w14:paraId="7C35E1FC">
      <w:pPr>
        <w:spacing w:line="360" w:lineRule="auto"/>
        <w:rPr>
          <w:rFonts w:hint="eastAsia" w:ascii="宋体" w:hAnsi="宋体"/>
          <w:color w:val="auto"/>
          <w:sz w:val="24"/>
          <w:szCs w:val="24"/>
          <w:highlight w:val="none"/>
          <w:u w:val="single"/>
        </w:rPr>
      </w:pPr>
      <w:r>
        <w:rPr>
          <w:rFonts w:hint="eastAsia" w:ascii="宋体" w:hAnsi="宋体"/>
          <w:color w:val="auto"/>
          <w:sz w:val="24"/>
          <w:szCs w:val="24"/>
          <w:highlight w:val="none"/>
        </w:rPr>
        <w:t>账  号：</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 xml:space="preserve">    账  号：</w:t>
      </w:r>
      <w:r>
        <w:rPr>
          <w:rFonts w:hint="eastAsia" w:ascii="宋体" w:hAnsi="宋体"/>
          <w:color w:val="auto"/>
          <w:sz w:val="24"/>
          <w:szCs w:val="24"/>
          <w:highlight w:val="none"/>
          <w:u w:val="single"/>
        </w:rPr>
        <w:t xml:space="preserve">     </w:t>
      </w:r>
    </w:p>
    <w:p w14:paraId="730CBC90">
      <w:pPr>
        <w:spacing w:line="360" w:lineRule="auto"/>
        <w:jc w:val="left"/>
        <w:rPr>
          <w:rFonts w:hint="eastAsia" w:ascii="宋体" w:hAnsi="宋体"/>
          <w:b/>
          <w:bCs/>
          <w:color w:val="auto"/>
          <w:sz w:val="24"/>
          <w:szCs w:val="24"/>
          <w:highlight w:val="none"/>
        </w:rPr>
      </w:pPr>
      <w:r>
        <w:rPr>
          <w:rFonts w:hint="eastAsia" w:ascii="宋体" w:hAnsi="宋体"/>
          <w:color w:val="auto"/>
          <w:sz w:val="24"/>
          <w:szCs w:val="24"/>
          <w:highlight w:val="none"/>
        </w:rPr>
        <w:t>邮政编码：</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 xml:space="preserve">   邮政编码：</w:t>
      </w:r>
      <w:r>
        <w:rPr>
          <w:rFonts w:hint="eastAsia" w:ascii="宋体" w:hAnsi="宋体"/>
          <w:color w:val="auto"/>
          <w:sz w:val="24"/>
          <w:szCs w:val="24"/>
          <w:highlight w:val="none"/>
          <w:u w:val="single"/>
        </w:rPr>
        <w:t xml:space="preserve">   </w:t>
      </w:r>
      <w:bookmarkEnd w:id="0"/>
    </w:p>
    <w:p w14:paraId="0D748FEB">
      <w:pPr>
        <w:spacing w:line="360" w:lineRule="auto"/>
        <w:jc w:val="left"/>
        <w:rPr>
          <w:rFonts w:hint="eastAsia" w:ascii="宋体" w:hAnsi="宋体"/>
          <w:b/>
          <w:bCs/>
          <w:color w:val="auto"/>
          <w:sz w:val="30"/>
          <w:szCs w:val="30"/>
          <w:highlight w:val="none"/>
        </w:rPr>
      </w:pPr>
    </w:p>
    <w:p w14:paraId="22D2D6A2">
      <w:pPr>
        <w:spacing w:line="360" w:lineRule="auto"/>
        <w:jc w:val="center"/>
        <w:rPr>
          <w:rFonts w:ascii="宋体" w:hAnsi="宋体"/>
          <w:b/>
          <w:bCs/>
          <w:color w:val="auto"/>
          <w:sz w:val="30"/>
          <w:szCs w:val="30"/>
          <w:highlight w:val="none"/>
        </w:rPr>
      </w:pPr>
    </w:p>
    <w:p w14:paraId="4FA928BA">
      <w:pPr>
        <w:pStyle w:val="12"/>
        <w:rPr>
          <w:color w:val="auto"/>
          <w:highlight w:val="none"/>
        </w:rPr>
      </w:pPr>
    </w:p>
    <w:p w14:paraId="79533679">
      <w:pPr>
        <w:adjustRightInd w:val="0"/>
        <w:snapToGrid w:val="0"/>
        <w:outlineLvl w:val="0"/>
        <w:rPr>
          <w:rFonts w:hint="eastAsia" w:ascii="宋体" w:hAnsi="宋体"/>
          <w:b/>
          <w:bCs/>
          <w:color w:val="auto"/>
          <w:sz w:val="28"/>
          <w:szCs w:val="28"/>
          <w:highlight w:val="none"/>
          <w:lang w:val="zh-CN"/>
        </w:rPr>
      </w:pPr>
    </w:p>
    <w:p w14:paraId="28D5749E">
      <w:pPr>
        <w:adjustRightInd w:val="0"/>
        <w:snapToGrid w:val="0"/>
        <w:outlineLvl w:val="0"/>
        <w:rPr>
          <w:rFonts w:hint="eastAsia" w:ascii="宋体" w:hAnsi="宋体"/>
          <w:b/>
          <w:bCs/>
          <w:color w:val="auto"/>
          <w:sz w:val="28"/>
          <w:szCs w:val="28"/>
          <w:highlight w:val="none"/>
          <w:lang w:val="zh-CN"/>
        </w:rPr>
      </w:pPr>
    </w:p>
    <w:p w14:paraId="1CC8541C">
      <w:pPr>
        <w:adjustRightInd w:val="0"/>
        <w:snapToGrid w:val="0"/>
        <w:outlineLvl w:val="0"/>
        <w:rPr>
          <w:rFonts w:hint="eastAsia" w:ascii="宋体" w:hAnsi="宋体"/>
          <w:b/>
          <w:bCs/>
          <w:color w:val="auto"/>
          <w:sz w:val="28"/>
          <w:szCs w:val="28"/>
          <w:highlight w:val="none"/>
          <w:lang w:val="zh-CN"/>
        </w:rPr>
      </w:pPr>
    </w:p>
    <w:p w14:paraId="5EE2F8EF">
      <w:pPr>
        <w:adjustRightInd w:val="0"/>
        <w:snapToGrid w:val="0"/>
        <w:outlineLvl w:val="0"/>
        <w:rPr>
          <w:rFonts w:hint="eastAsia" w:ascii="宋体" w:hAnsi="宋体"/>
          <w:b/>
          <w:bCs/>
          <w:color w:val="auto"/>
          <w:sz w:val="28"/>
          <w:szCs w:val="28"/>
          <w:highlight w:val="none"/>
          <w:lang w:val="zh-CN"/>
        </w:rPr>
      </w:pPr>
      <w:r>
        <w:rPr>
          <w:rFonts w:hint="eastAsia" w:ascii="宋体" w:hAnsi="宋体"/>
          <w:b/>
          <w:bCs/>
          <w:color w:val="auto"/>
          <w:sz w:val="28"/>
          <w:szCs w:val="28"/>
          <w:highlight w:val="none"/>
          <w:lang w:val="zh-CN"/>
        </w:rPr>
        <w:t>附件二：</w:t>
      </w:r>
    </w:p>
    <w:p w14:paraId="55847A59">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kern w:val="0"/>
          <w:sz w:val="32"/>
          <w:szCs w:val="32"/>
          <w:highlight w:val="none"/>
          <w:lang w:val="zh-CN" w:bidi="zh-CN"/>
        </w:rPr>
        <w:t>廉政承诺书</w:t>
      </w:r>
    </w:p>
    <w:p w14:paraId="65812783">
      <w:pPr>
        <w:keepNext w:val="0"/>
        <w:keepLines w:val="0"/>
        <w:pageBreakBefore w:val="0"/>
        <w:kinsoku/>
        <w:wordWrap/>
        <w:overflowPunct/>
        <w:topLinePunct w:val="0"/>
        <w:autoSpaceDE/>
        <w:autoSpaceDN/>
        <w:bidi w:val="0"/>
        <w:spacing w:line="360" w:lineRule="auto"/>
        <w:ind w:firstLine="530" w:firstLineChars="200"/>
        <w:jc w:val="left"/>
        <w:textAlignment w:val="auto"/>
        <w:rPr>
          <w:rFonts w:hint="eastAsia" w:ascii="宋体" w:hAnsi="宋体" w:eastAsia="宋体" w:cs="宋体"/>
          <w:b/>
          <w:color w:val="auto"/>
          <w:spacing w:val="12"/>
          <w:kern w:val="0"/>
          <w:sz w:val="24"/>
          <w:szCs w:val="24"/>
          <w:highlight w:val="none"/>
          <w:lang w:bidi="en-US"/>
        </w:rPr>
      </w:pPr>
      <w:r>
        <w:rPr>
          <w:rFonts w:hint="eastAsia" w:ascii="宋体" w:hAnsi="宋体" w:eastAsia="宋体" w:cs="宋体"/>
          <w:b/>
          <w:color w:val="auto"/>
          <w:spacing w:val="12"/>
          <w:kern w:val="0"/>
          <w:sz w:val="24"/>
          <w:szCs w:val="24"/>
          <w:highlight w:val="none"/>
          <w:lang w:bidi="en-US"/>
        </w:rPr>
        <w:t>工程项目名称：</w:t>
      </w:r>
      <w:r>
        <w:rPr>
          <w:rFonts w:hint="eastAsia" w:ascii="宋体" w:hAnsi="宋体" w:eastAsia="宋体" w:cs="宋体"/>
          <w:b/>
          <w:i w:val="0"/>
          <w:iCs w:val="0"/>
          <w:caps w:val="0"/>
          <w:color w:val="auto"/>
          <w:spacing w:val="0"/>
          <w:kern w:val="0"/>
          <w:sz w:val="24"/>
          <w:szCs w:val="24"/>
          <w:highlight w:val="none"/>
          <w:u w:val="single"/>
          <w:shd w:val="clear" w:color="auto" w:fill="auto"/>
          <w:lang w:eastAsia="zh-CN" w:bidi="en-US"/>
        </w:rPr>
        <w:t>2026年第二批次城市更新提优市政修复零星工程</w:t>
      </w:r>
    </w:p>
    <w:p w14:paraId="07571BE8">
      <w:pPr>
        <w:keepNext w:val="0"/>
        <w:keepLines w:val="0"/>
        <w:pageBreakBefore w:val="0"/>
        <w:kinsoku/>
        <w:wordWrap/>
        <w:overflowPunct/>
        <w:topLinePunct w:val="0"/>
        <w:autoSpaceDE/>
        <w:autoSpaceDN/>
        <w:bidi w:val="0"/>
        <w:spacing w:line="360" w:lineRule="auto"/>
        <w:ind w:firstLine="530" w:firstLineChars="200"/>
        <w:jc w:val="left"/>
        <w:textAlignment w:val="auto"/>
        <w:rPr>
          <w:rFonts w:hint="eastAsia" w:ascii="宋体" w:hAnsi="宋体" w:eastAsia="宋体" w:cs="宋体"/>
          <w:b/>
          <w:color w:val="auto"/>
          <w:spacing w:val="12"/>
          <w:kern w:val="0"/>
          <w:sz w:val="24"/>
          <w:szCs w:val="24"/>
          <w:highlight w:val="none"/>
          <w:lang w:bidi="en-US"/>
        </w:rPr>
      </w:pPr>
      <w:r>
        <w:rPr>
          <w:rFonts w:hint="eastAsia" w:ascii="宋体" w:hAnsi="宋体" w:eastAsia="宋体" w:cs="宋体"/>
          <w:b/>
          <w:color w:val="auto"/>
          <w:spacing w:val="12"/>
          <w:kern w:val="0"/>
          <w:sz w:val="24"/>
          <w:szCs w:val="24"/>
          <w:highlight w:val="none"/>
          <w:lang w:bidi="en-US"/>
        </w:rPr>
        <w:t>工程建设单位（甲方）：</w:t>
      </w:r>
      <w:r>
        <w:rPr>
          <w:rFonts w:hint="eastAsia" w:ascii="宋体" w:hAnsi="宋体" w:cs="宋体"/>
          <w:b/>
          <w:i w:val="0"/>
          <w:iCs w:val="0"/>
          <w:caps w:val="0"/>
          <w:color w:val="auto"/>
          <w:spacing w:val="0"/>
          <w:kern w:val="0"/>
          <w:sz w:val="24"/>
          <w:szCs w:val="24"/>
          <w:highlight w:val="none"/>
          <w:u w:val="single"/>
          <w:shd w:val="clear" w:color="auto" w:fill="auto"/>
          <w:lang w:eastAsia="zh-CN" w:bidi="en-US"/>
        </w:rPr>
        <w:t>无锡前丰农业有限公司</w:t>
      </w:r>
      <w:r>
        <w:rPr>
          <w:rFonts w:hint="eastAsia" w:ascii="宋体" w:hAnsi="宋体" w:eastAsia="宋体" w:cs="宋体"/>
          <w:b/>
          <w:color w:val="auto"/>
          <w:spacing w:val="12"/>
          <w:kern w:val="0"/>
          <w:sz w:val="24"/>
          <w:szCs w:val="24"/>
          <w:highlight w:val="none"/>
          <w:lang w:bidi="en-US"/>
        </w:rPr>
        <w:t xml:space="preserve"> </w:t>
      </w:r>
    </w:p>
    <w:p w14:paraId="4AAE1683">
      <w:pPr>
        <w:keepNext w:val="0"/>
        <w:keepLines w:val="0"/>
        <w:pageBreakBefore w:val="0"/>
        <w:kinsoku/>
        <w:wordWrap/>
        <w:overflowPunct/>
        <w:topLinePunct w:val="0"/>
        <w:autoSpaceDE/>
        <w:autoSpaceDN/>
        <w:bidi w:val="0"/>
        <w:spacing w:line="360" w:lineRule="auto"/>
        <w:ind w:firstLine="530" w:firstLineChars="200"/>
        <w:jc w:val="left"/>
        <w:textAlignment w:val="auto"/>
        <w:rPr>
          <w:rFonts w:hint="eastAsia" w:ascii="宋体" w:hAnsi="宋体" w:eastAsia="宋体" w:cs="宋体"/>
          <w:b/>
          <w:color w:val="auto"/>
          <w:spacing w:val="12"/>
          <w:kern w:val="0"/>
          <w:sz w:val="24"/>
          <w:szCs w:val="24"/>
          <w:highlight w:val="none"/>
          <w:lang w:bidi="en-US"/>
        </w:rPr>
      </w:pPr>
      <w:r>
        <w:rPr>
          <w:rFonts w:hint="eastAsia" w:ascii="宋体" w:hAnsi="宋体" w:eastAsia="宋体" w:cs="宋体"/>
          <w:b/>
          <w:color w:val="auto"/>
          <w:spacing w:val="12"/>
          <w:kern w:val="0"/>
          <w:sz w:val="24"/>
          <w:szCs w:val="24"/>
          <w:highlight w:val="none"/>
          <w:lang w:bidi="en-US"/>
        </w:rPr>
        <w:t>工程施工单位（乙方）：</w:t>
      </w:r>
      <w:r>
        <w:rPr>
          <w:rFonts w:hint="eastAsia" w:ascii="宋体" w:hAnsi="宋体" w:eastAsia="宋体" w:cs="宋体"/>
          <w:b/>
          <w:color w:val="auto"/>
          <w:spacing w:val="12"/>
          <w:kern w:val="0"/>
          <w:sz w:val="24"/>
          <w:szCs w:val="24"/>
          <w:highlight w:val="none"/>
          <w:u w:val="single"/>
          <w:lang w:bidi="en-US"/>
        </w:rPr>
        <w:t xml:space="preserve">                   </w:t>
      </w:r>
    </w:p>
    <w:p w14:paraId="64D9B6A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为加强工程建设中的廉政建设，规范工程建设项目承发包双方的各项活动，防止发生各种谋取不正当利益的违法违纪行为，保护国家、集体和当事人的合法利益，根据国家有关工程建设的法律法规和廉政建设责任制规定，特订立本廉政责任书。</w:t>
      </w:r>
    </w:p>
    <w:p w14:paraId="089A337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一、甲乙双方的责任</w:t>
      </w:r>
    </w:p>
    <w:p w14:paraId="35B25608">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（一）应严格遵守国家关于市场准入、项目招标投标、工程建设、施工安装和市场活动等 有关法律、法规，相关政策，以及廉政建设的各项规定。</w:t>
      </w:r>
    </w:p>
    <w:p w14:paraId="0096FDC2">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（二）严格执行建设工程项目施工合同文件，自觉按合同办事。</w:t>
      </w:r>
    </w:p>
    <w:p w14:paraId="4D2F01D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业务活动必须坚持公开、公平、公正、诚信、透明的原则（除法律法规另有规定者外），不得为获取不正当的利益，损害国家、集体和对方利益，不得违反工程建设管理（勘察设计、施工安装、建设监理）的规章制度。</w:t>
      </w:r>
    </w:p>
    <w:p w14:paraId="64CA30D8">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（四）发现对方在业务活动中有违规、违纪、违法行为的，应及时提醒对方，情节严重的， 应向其上级主管部门或纪检监察、司法等有关机关举报。</w:t>
      </w:r>
    </w:p>
    <w:p w14:paraId="71124D3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二、甲方的责任 </w:t>
      </w:r>
    </w:p>
    <w:p w14:paraId="5D46F632">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甲方的领导和从事该建设工程项目的工作人员，在工程建设的事前、事中、事后应遵守以下规定：</w:t>
      </w:r>
    </w:p>
    <w:p w14:paraId="164195C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（一）不准向乙方和相关单位索要或接受回扣、礼金、有价证券、贵重物品和好处费、感谢费等。</w:t>
      </w:r>
    </w:p>
    <w:p w14:paraId="2FC48CF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（二）不准在乙方和相关单位报销任何应由甲方或个人支付的费用。</w:t>
      </w:r>
    </w:p>
    <w:p w14:paraId="1F03B37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（三）不准要求、暗示或接受乙方和相关单位为个人装修住房、婚丧嫁娶、配偶子女的工作安排以及出国（境）、旅游等提供方便。</w:t>
      </w:r>
    </w:p>
    <w:p w14:paraId="291D979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（四）不准参加有可能影响公正执行公务的乙方和相关单位的宴请、健身、娱乐等活动。</w:t>
      </w:r>
    </w:p>
    <w:p w14:paraId="50BA686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（五）不准向乙方介绍或为配偶、子女、亲属参与同甲方项目工程有关等经济活动。</w:t>
      </w:r>
    </w:p>
    <w:p w14:paraId="4194993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三、乙方的责任 </w:t>
      </w:r>
    </w:p>
    <w:p w14:paraId="7513A64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应与甲方保持正常的业务交往，按照有关法律法规和程序开展业务工作，严格执行工程建设的有关方针、政策</w:t>
      </w:r>
      <w:r>
        <w:rPr>
          <w:rFonts w:hint="eastAsia" w:ascii="宋体" w:hAnsi="宋体" w:eastAsia="宋体" w:cs="宋体"/>
          <w:color w:val="auto"/>
          <w:kern w:val="0"/>
          <w:sz w:val="24"/>
          <w:szCs w:val="24"/>
          <w:highlight w:val="none"/>
          <w:lang w:eastAsia="zh-CN"/>
        </w:rPr>
        <w:t>，尤其是</w:t>
      </w:r>
      <w:r>
        <w:rPr>
          <w:rFonts w:hint="eastAsia" w:ascii="宋体" w:hAnsi="宋体" w:eastAsia="宋体" w:cs="宋体"/>
          <w:color w:val="auto"/>
          <w:kern w:val="0"/>
          <w:sz w:val="24"/>
          <w:szCs w:val="24"/>
          <w:highlight w:val="none"/>
        </w:rPr>
        <w:t>有关建筑施工安装的强制性标准和规范，并遵守以下规定：</w:t>
      </w:r>
    </w:p>
    <w:p w14:paraId="56AB9D1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（一）不准以任何理由向甲方、相关单位及工作人员索要、接受赠送礼金、有价证券、贵重物品及回扣、好处费、感谢费等。</w:t>
      </w:r>
    </w:p>
    <w:p w14:paraId="27A5A46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（二）不准以任何理由为甲方和相关单位报销应由对方或个人支付的费用。</w:t>
      </w:r>
    </w:p>
    <w:p w14:paraId="7D561C3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（三）不准接受或暗示为甲方、相关单位或个人装修住房、婚丧嫁娶、配偶子女的工作安 排以及出国（境）、旅游等提供方便。</w:t>
      </w:r>
    </w:p>
    <w:p w14:paraId="0C1796B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（四）不准以任何理由为甲方、相关单位或个人组织有可能影响公正执行公务的宴请、健身、 娱乐等活动。</w:t>
      </w:r>
    </w:p>
    <w:p w14:paraId="0A878CD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四、违约责任</w:t>
      </w:r>
    </w:p>
    <w:p w14:paraId="3A5EF332">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（一）甲方工作人员有违反本责任书第一、二条责任行为的，按照管理权限， 依据有关法律法规和规定给予党纪、政纪处分或组织处理；涉嫌犯罪的，移交司法机关追究刑事责任；给乙方单位造成经济损失的，应予以赔偿。</w:t>
      </w:r>
    </w:p>
    <w:p w14:paraId="54D63E4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乙方工作人员有违反本责任书第一、三条责任行为的，按照管理权限，依据有关法律法规和规定给予党纪、政纪处分或组织处理；涉嫌犯罪的，移交司法机关追究刑事责任；给甲方单位造成经济损失的，应予以赔偿。</w:t>
      </w:r>
    </w:p>
    <w:p w14:paraId="41B68D3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五、本责任书作为工程合同的附件，与工程合同具有同等法律效力。经双方签署后立即生效。本责任书的有效期为双方签署之日起至该工程项目竣工验收及保修期满时止。</w:t>
      </w:r>
    </w:p>
    <w:p w14:paraId="2EFFF5D8">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本协议一式</w:t>
      </w:r>
      <w:r>
        <w:rPr>
          <w:rFonts w:hint="eastAsia" w:ascii="宋体" w:hAnsi="宋体" w:eastAsia="宋体" w:cs="宋体"/>
          <w:color w:val="auto"/>
          <w:kern w:val="0"/>
          <w:sz w:val="24"/>
          <w:szCs w:val="24"/>
          <w:highlight w:val="none"/>
          <w:u w:val="single"/>
          <w:lang w:val="en-US" w:eastAsia="zh-CN"/>
        </w:rPr>
        <w:t>陆</w:t>
      </w:r>
      <w:r>
        <w:rPr>
          <w:rFonts w:hint="eastAsia" w:ascii="宋体" w:hAnsi="宋体" w:eastAsia="宋体" w:cs="宋体"/>
          <w:color w:val="auto"/>
          <w:kern w:val="0"/>
          <w:sz w:val="24"/>
          <w:szCs w:val="24"/>
          <w:highlight w:val="none"/>
        </w:rPr>
        <w:t>份，甲方执</w:t>
      </w:r>
      <w:r>
        <w:rPr>
          <w:rFonts w:hint="eastAsia" w:ascii="宋体" w:hAnsi="宋体" w:eastAsia="宋体" w:cs="宋体"/>
          <w:color w:val="auto"/>
          <w:kern w:val="0"/>
          <w:sz w:val="24"/>
          <w:szCs w:val="24"/>
          <w:highlight w:val="none"/>
          <w:u w:val="single"/>
          <w:lang w:val="en-US" w:eastAsia="zh-CN"/>
        </w:rPr>
        <w:t>叁</w:t>
      </w:r>
      <w:r>
        <w:rPr>
          <w:rFonts w:hint="eastAsia" w:ascii="宋体" w:hAnsi="宋体" w:eastAsia="宋体" w:cs="宋体"/>
          <w:color w:val="auto"/>
          <w:kern w:val="0"/>
          <w:sz w:val="24"/>
          <w:szCs w:val="24"/>
          <w:highlight w:val="none"/>
        </w:rPr>
        <w:t>份，乙方执</w:t>
      </w:r>
      <w:r>
        <w:rPr>
          <w:rFonts w:hint="eastAsia" w:ascii="宋体" w:hAnsi="宋体" w:eastAsia="宋体" w:cs="宋体"/>
          <w:color w:val="auto"/>
          <w:kern w:val="0"/>
          <w:sz w:val="24"/>
          <w:szCs w:val="24"/>
          <w:highlight w:val="none"/>
          <w:u w:val="single"/>
          <w:lang w:val="en-US" w:eastAsia="zh-CN"/>
        </w:rPr>
        <w:t>叁</w:t>
      </w:r>
      <w:r>
        <w:rPr>
          <w:rFonts w:hint="eastAsia" w:ascii="宋体" w:hAnsi="宋体" w:eastAsia="宋体" w:cs="宋体"/>
          <w:color w:val="auto"/>
          <w:kern w:val="0"/>
          <w:sz w:val="24"/>
          <w:szCs w:val="24"/>
          <w:highlight w:val="none"/>
        </w:rPr>
        <w:t>份。</w:t>
      </w:r>
    </w:p>
    <w:p w14:paraId="64BBBD9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p>
    <w:p w14:paraId="7D552A3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发包人：             </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(盖章)</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 xml:space="preserve">          承包人： </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 xml:space="preserve">              (盖章)</w:t>
      </w:r>
    </w:p>
    <w:p w14:paraId="203AE54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p>
    <w:p w14:paraId="2F5D80E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 xml:space="preserve">                        法定代表人或其</w:t>
      </w:r>
    </w:p>
    <w:p w14:paraId="414B9D3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委托代理人： </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 xml:space="preserve">      (签字或盖章)</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委托代理人：   </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(签字或盖章)</w:t>
      </w:r>
    </w:p>
    <w:p w14:paraId="08ECEEFF">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p>
    <w:p w14:paraId="2ABB5E4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年   月   日</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 xml:space="preserve">                         202</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年  月  日</w:t>
      </w:r>
    </w:p>
    <w:p w14:paraId="78585B5A">
      <w:pPr>
        <w:widowControl/>
        <w:spacing w:line="360" w:lineRule="auto"/>
        <w:ind w:firstLine="440" w:firstLineChars="200"/>
        <w:jc w:val="left"/>
        <w:rPr>
          <w:rFonts w:hint="eastAsia" w:ascii="宋体" w:hAnsi="宋体"/>
          <w:color w:val="auto"/>
          <w:kern w:val="0"/>
          <w:sz w:val="22"/>
          <w:szCs w:val="21"/>
          <w:highlight w:val="none"/>
        </w:rPr>
      </w:pPr>
    </w:p>
    <w:p w14:paraId="3BB1C318">
      <w:pPr>
        <w:adjustRightInd w:val="0"/>
        <w:snapToGrid w:val="0"/>
        <w:spacing w:line="360" w:lineRule="auto"/>
        <w:rPr>
          <w:rFonts w:hint="eastAsia" w:ascii="宋体" w:hAnsi="宋体"/>
          <w:b/>
          <w:bCs/>
          <w:color w:val="auto"/>
          <w:sz w:val="28"/>
          <w:szCs w:val="28"/>
          <w:highlight w:val="none"/>
          <w:lang w:val="zh-CN"/>
        </w:rPr>
        <w:sectPr>
          <w:pgSz w:w="11906" w:h="16838"/>
          <w:pgMar w:top="1304" w:right="1304" w:bottom="1304" w:left="1304" w:header="680" w:footer="1020" w:gutter="0"/>
          <w:pgNumType w:fmt="decimal"/>
          <w:cols w:space="720" w:num="1"/>
          <w:rtlGutter w:val="0"/>
          <w:docGrid w:type="lines" w:linePitch="312" w:charSpace="0"/>
        </w:sectPr>
      </w:pPr>
    </w:p>
    <w:p w14:paraId="261BA7FD">
      <w:pPr>
        <w:adjustRightInd w:val="0"/>
        <w:snapToGrid w:val="0"/>
        <w:spacing w:line="360" w:lineRule="auto"/>
        <w:rPr>
          <w:rFonts w:ascii="宋体" w:hAnsi="宋体"/>
          <w:b/>
          <w:bCs/>
          <w:color w:val="auto"/>
          <w:szCs w:val="21"/>
          <w:highlight w:val="none"/>
        </w:rPr>
      </w:pPr>
      <w:r>
        <w:rPr>
          <w:rFonts w:hint="eastAsia" w:ascii="宋体" w:hAnsi="宋体"/>
          <w:b/>
          <w:bCs/>
          <w:color w:val="auto"/>
          <w:sz w:val="28"/>
          <w:szCs w:val="28"/>
          <w:highlight w:val="none"/>
          <w:lang w:val="zh-CN"/>
        </w:rPr>
        <w:t>附件三：</w:t>
      </w:r>
    </w:p>
    <w:p w14:paraId="752202D5">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kern w:val="0"/>
          <w:sz w:val="32"/>
          <w:szCs w:val="32"/>
          <w:highlight w:val="none"/>
          <w:lang w:val="zh-CN" w:bidi="zh-CN"/>
        </w:rPr>
        <w:t>建筑工程施工安全管理协议书</w:t>
      </w:r>
    </w:p>
    <w:p w14:paraId="32F021B0">
      <w:pPr>
        <w:keepNext w:val="0"/>
        <w:keepLines w:val="0"/>
        <w:pageBreakBefore w:val="0"/>
        <w:kinsoku/>
        <w:wordWrap/>
        <w:overflowPunct/>
        <w:topLinePunct w:val="0"/>
        <w:autoSpaceDE/>
        <w:autoSpaceDN/>
        <w:bidi w:val="0"/>
        <w:spacing w:line="360" w:lineRule="auto"/>
        <w:ind w:firstLine="530" w:firstLineChars="200"/>
        <w:jc w:val="left"/>
        <w:textAlignment w:val="auto"/>
        <w:rPr>
          <w:rFonts w:hint="eastAsia" w:ascii="宋体" w:hAnsi="宋体" w:eastAsia="宋体" w:cs="宋体"/>
          <w:b/>
          <w:color w:val="auto"/>
          <w:spacing w:val="12"/>
          <w:kern w:val="0"/>
          <w:sz w:val="24"/>
          <w:szCs w:val="24"/>
          <w:highlight w:val="none"/>
          <w:lang w:bidi="en-US"/>
        </w:rPr>
      </w:pPr>
      <w:r>
        <w:rPr>
          <w:rFonts w:hint="eastAsia" w:ascii="宋体" w:hAnsi="宋体" w:eastAsia="宋体" w:cs="宋体"/>
          <w:b/>
          <w:color w:val="auto"/>
          <w:spacing w:val="12"/>
          <w:kern w:val="0"/>
          <w:sz w:val="24"/>
          <w:szCs w:val="24"/>
          <w:highlight w:val="none"/>
          <w:lang w:bidi="en-US"/>
        </w:rPr>
        <w:t>工程项目名称：</w:t>
      </w:r>
      <w:r>
        <w:rPr>
          <w:rFonts w:hint="eastAsia" w:ascii="宋体" w:hAnsi="宋体" w:eastAsia="宋体" w:cs="宋体"/>
          <w:b/>
          <w:color w:val="auto"/>
          <w:spacing w:val="12"/>
          <w:kern w:val="0"/>
          <w:sz w:val="24"/>
          <w:szCs w:val="24"/>
          <w:highlight w:val="none"/>
          <w:u w:val="single"/>
          <w:lang w:bidi="en-US"/>
        </w:rPr>
        <w:t>2026年第二批次城市更新提优市政修复零星工程</w:t>
      </w:r>
    </w:p>
    <w:p w14:paraId="2B8FE2EF">
      <w:pPr>
        <w:keepNext w:val="0"/>
        <w:keepLines w:val="0"/>
        <w:pageBreakBefore w:val="0"/>
        <w:kinsoku/>
        <w:wordWrap/>
        <w:overflowPunct/>
        <w:topLinePunct w:val="0"/>
        <w:autoSpaceDE/>
        <w:autoSpaceDN/>
        <w:bidi w:val="0"/>
        <w:spacing w:line="360" w:lineRule="auto"/>
        <w:ind w:firstLine="530" w:firstLineChars="200"/>
        <w:jc w:val="left"/>
        <w:textAlignment w:val="auto"/>
        <w:rPr>
          <w:rFonts w:hint="eastAsia" w:ascii="宋体" w:hAnsi="宋体" w:eastAsia="宋体" w:cs="宋体"/>
          <w:b/>
          <w:color w:val="auto"/>
          <w:spacing w:val="12"/>
          <w:kern w:val="0"/>
          <w:sz w:val="24"/>
          <w:szCs w:val="24"/>
          <w:highlight w:val="none"/>
          <w:lang w:bidi="en-US"/>
        </w:rPr>
      </w:pPr>
      <w:r>
        <w:rPr>
          <w:rFonts w:hint="eastAsia" w:ascii="宋体" w:hAnsi="宋体" w:eastAsia="宋体" w:cs="宋体"/>
          <w:b/>
          <w:color w:val="auto"/>
          <w:spacing w:val="12"/>
          <w:kern w:val="0"/>
          <w:sz w:val="24"/>
          <w:szCs w:val="24"/>
          <w:highlight w:val="none"/>
          <w:lang w:bidi="en-US"/>
        </w:rPr>
        <w:t>工程建设单位（甲方）：</w:t>
      </w:r>
      <w:r>
        <w:rPr>
          <w:rFonts w:hint="eastAsia" w:ascii="宋体" w:hAnsi="宋体" w:cs="宋体"/>
          <w:b/>
          <w:i w:val="0"/>
          <w:iCs w:val="0"/>
          <w:caps w:val="0"/>
          <w:color w:val="auto"/>
          <w:spacing w:val="0"/>
          <w:kern w:val="0"/>
          <w:sz w:val="24"/>
          <w:szCs w:val="24"/>
          <w:highlight w:val="none"/>
          <w:u w:val="single"/>
          <w:shd w:val="clear" w:color="auto" w:fill="auto"/>
          <w:lang w:eastAsia="zh-CN" w:bidi="en-US"/>
        </w:rPr>
        <w:t>无锡前丰农业有限公司</w:t>
      </w:r>
      <w:r>
        <w:rPr>
          <w:rFonts w:hint="eastAsia" w:ascii="宋体" w:hAnsi="宋体" w:eastAsia="宋体" w:cs="宋体"/>
          <w:b/>
          <w:color w:val="auto"/>
          <w:spacing w:val="12"/>
          <w:kern w:val="0"/>
          <w:sz w:val="24"/>
          <w:szCs w:val="24"/>
          <w:highlight w:val="none"/>
          <w:u w:val="single"/>
          <w:lang w:bidi="en-US"/>
        </w:rPr>
        <w:t xml:space="preserve"> </w:t>
      </w:r>
    </w:p>
    <w:p w14:paraId="39299018">
      <w:pPr>
        <w:keepNext w:val="0"/>
        <w:keepLines w:val="0"/>
        <w:pageBreakBefore w:val="0"/>
        <w:kinsoku/>
        <w:wordWrap/>
        <w:overflowPunct/>
        <w:topLinePunct w:val="0"/>
        <w:autoSpaceDE/>
        <w:autoSpaceDN/>
        <w:bidi w:val="0"/>
        <w:spacing w:line="360" w:lineRule="auto"/>
        <w:ind w:firstLine="530" w:firstLineChars="200"/>
        <w:jc w:val="left"/>
        <w:textAlignment w:val="auto"/>
        <w:rPr>
          <w:rFonts w:hint="eastAsia" w:ascii="宋体" w:hAnsi="宋体" w:eastAsia="宋体" w:cs="宋体"/>
          <w:b/>
          <w:color w:val="auto"/>
          <w:spacing w:val="12"/>
          <w:kern w:val="0"/>
          <w:sz w:val="24"/>
          <w:szCs w:val="24"/>
          <w:highlight w:val="none"/>
          <w:u w:val="single"/>
          <w:lang w:bidi="en-US"/>
        </w:rPr>
      </w:pPr>
      <w:r>
        <w:rPr>
          <w:rFonts w:hint="eastAsia" w:ascii="宋体" w:hAnsi="宋体" w:eastAsia="宋体" w:cs="宋体"/>
          <w:b/>
          <w:color w:val="auto"/>
          <w:spacing w:val="12"/>
          <w:kern w:val="0"/>
          <w:sz w:val="24"/>
          <w:szCs w:val="24"/>
          <w:highlight w:val="none"/>
          <w:lang w:bidi="en-US"/>
        </w:rPr>
        <w:t>工程施工单位（乙方）：</w:t>
      </w:r>
      <w:r>
        <w:rPr>
          <w:rFonts w:hint="eastAsia" w:ascii="宋体" w:hAnsi="宋体" w:eastAsia="宋体" w:cs="宋体"/>
          <w:b/>
          <w:color w:val="auto"/>
          <w:spacing w:val="12"/>
          <w:kern w:val="0"/>
          <w:sz w:val="24"/>
          <w:szCs w:val="24"/>
          <w:highlight w:val="none"/>
          <w:u w:val="single"/>
          <w:lang w:bidi="en-US"/>
        </w:rPr>
        <w:t xml:space="preserve">                  </w:t>
      </w:r>
    </w:p>
    <w:p w14:paraId="4E54476B">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u w:val="single"/>
        </w:rPr>
        <w:t>为了切实贯彻和落实《中华人民共和国安全生产法》和《建设工程安全生产管理条例》及有关政策的相关规定，遵照“安全第一、预防为主、综合治理”的方针，确保本工程目标建设的顺利实现，甲乙双方就（</w:t>
      </w:r>
      <w:r>
        <w:rPr>
          <w:rFonts w:hint="eastAsia" w:ascii="宋体" w:hAnsi="宋体" w:eastAsia="宋体" w:cs="宋体"/>
          <w:b/>
          <w:bCs/>
          <w:color w:val="auto"/>
          <w:sz w:val="24"/>
          <w:szCs w:val="24"/>
          <w:highlight w:val="none"/>
          <w:u w:val="single"/>
          <w:lang w:eastAsia="zh-CN"/>
        </w:rPr>
        <w:t>2026年第二批次城市更新提优市政修复零星工程</w:t>
      </w:r>
      <w:r>
        <w:rPr>
          <w:rFonts w:hint="eastAsia" w:ascii="宋体" w:hAnsi="宋体" w:eastAsia="宋体" w:cs="宋体"/>
          <w:b/>
          <w:bCs/>
          <w:color w:val="auto"/>
          <w:sz w:val="24"/>
          <w:szCs w:val="24"/>
          <w:highlight w:val="none"/>
          <w:u w:val="single"/>
        </w:rPr>
        <w:t>）施工工程合同的安全管理责任达成以下共识，特签订本协议书，供双方共同遵守：</w:t>
      </w:r>
    </w:p>
    <w:p w14:paraId="10B7A3B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一、目标和任务</w:t>
      </w:r>
    </w:p>
    <w:p w14:paraId="0B27D98C">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坚决杜绝较大以上安全事故，不发生死亡事故，有效减少一般安全事故。</w:t>
      </w:r>
    </w:p>
    <w:p w14:paraId="7318984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二、甲方权利义务</w:t>
      </w:r>
    </w:p>
    <w:p w14:paraId="5F7CB06C">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（一）甲方有权审查乙方施工资质、安全生产资质及安全生产信誉度。</w:t>
      </w:r>
    </w:p>
    <w:p w14:paraId="6326FF9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甲方有权对乙方进行随时和不定期的安全生产监督检查，对发现的问题和存在的隐患有权要求乙方限期整改和消除隐患；对逾期不整改或整改不到位不彻底的，甲方有权责令乙方停止一切施工并限期整改到位。对拒不履行整改意见或再次逾期整改的，甲方有权单方面终止与乙方的工程合同，一切责任均由乙方自负。</w:t>
      </w:r>
    </w:p>
    <w:p w14:paraId="7C401EB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（三）甲方有义务对乙方进行安全生产职责告知。</w:t>
      </w:r>
    </w:p>
    <w:p w14:paraId="4DFD001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（四）甲方设立安全生产管理办公室，负责公司安全生产日常事务。</w:t>
      </w:r>
    </w:p>
    <w:p w14:paraId="7F18ADB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三、乙方权利义务</w:t>
      </w:r>
    </w:p>
    <w:p w14:paraId="6CFA628F">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（一）严格遵守国家安全生产的法律法规，贯彻执行国家相关方针政策及甲方各项安全管理制度，依法履行本建设工程安全生产主体责任。</w:t>
      </w:r>
    </w:p>
    <w:p w14:paraId="015B45D0">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切实加强安全管理，建立健全以安全生产责任制为中心的各项安全生产管理制度和安全操作规程，严格执行有关安全生产的国家标准和行业标准，完善安全生产条件，自觉接受并配合有关部门的监督管理，确保安全生产。</w:t>
      </w:r>
    </w:p>
    <w:p w14:paraId="7689D33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（三）加强安全生产管理机构和队伍建设，定期召开安全生产会议，及时解决安全生产的重大问题，加强施工现场安全生产管理。</w:t>
      </w:r>
    </w:p>
    <w:p w14:paraId="4B6600B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（四）乙方有义务在入场一周前上报该工程项目劳务人员花名册及其管理人员分工情况。</w:t>
      </w:r>
    </w:p>
    <w:p w14:paraId="61B0124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（五）乙方指派为现场安全员，负责本工程安全生产的现场管理工作。</w:t>
      </w:r>
    </w:p>
    <w:p w14:paraId="51EB586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六）单位主要负责人、分管安全的负责人和安全管理人员必须依法通过相关有资质单位组织的安全生产知识和管理能力的培训考核后方可任职。加强对从业人员的安全生产教育和培训，保证其具备并掌握必要的安全生产知识和安全操作技能。特种作业人员必须</w:t>
      </w:r>
      <w:r>
        <w:rPr>
          <w:rFonts w:hint="eastAsia" w:ascii="宋体" w:hAnsi="宋体" w:eastAsia="宋体" w:cs="宋体"/>
          <w:color w:val="auto"/>
          <w:kern w:val="0"/>
          <w:sz w:val="24"/>
          <w:szCs w:val="24"/>
          <w:highlight w:val="none"/>
          <w:lang w:eastAsia="zh-CN"/>
        </w:rPr>
        <w:t>经过</w:t>
      </w:r>
      <w:r>
        <w:rPr>
          <w:rFonts w:hint="eastAsia" w:ascii="宋体" w:hAnsi="宋体" w:eastAsia="宋体" w:cs="宋体"/>
          <w:color w:val="auto"/>
          <w:kern w:val="0"/>
          <w:sz w:val="24"/>
          <w:szCs w:val="24"/>
          <w:highlight w:val="none"/>
        </w:rPr>
        <w:t>专门培训，取得岗位操作证书后方能上岗作业。对进入施工现场所有施工单位工作人员，做好安全教育、安全技术交底。</w:t>
      </w:r>
    </w:p>
    <w:p w14:paraId="65B36EF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（七）保证对安全生产的有效投入，积极推广和应用安全生产先进技术，不使用国家明令淘汰、禁止使用的危及安全生产的工艺、设备，提高安全生产水平。</w:t>
      </w:r>
    </w:p>
    <w:p w14:paraId="6A24738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（八）建立应急救援体系，定期组织演练。切实加强重大危险源监测预警，进行定期检测、评估、监控。</w:t>
      </w:r>
    </w:p>
    <w:p w14:paraId="3D6FCE8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九）加强工作场所以及发包项目的安全生产管理，凡安全措施不到位，员工对岗位安全知识不熟知的，不准进行生产或进行相应的施工作业。对涉及安全生产必须取得行政许可的有关事项，必须依法取得行政许可。</w:t>
      </w:r>
    </w:p>
    <w:p w14:paraId="7EB7C74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（十）健全并落实安全生产检查制度，定期组织安全生产检查活动，对发现的事故隐患，及时组织并落实整改，确保安全生产。</w:t>
      </w:r>
    </w:p>
    <w:p w14:paraId="307BC1C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（十一）落实安全生产工作定期履职报告制度，每季度填写《无锡市惠山区安全生产工作履职报告书》，由单位主要负责人签名后于下季度第一个月2日前报送甲方安全生产管理办公室。</w:t>
      </w:r>
    </w:p>
    <w:p w14:paraId="7FE5ECD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十二）接到有关安全生产事故报告后，项目负责人应及时赶到事故现场，组织事故抢救和善后处理，防止事故扩大，并按照《生产安全事故报告和调查处理条例》（国务院第493号令）的有关规定，如实报告，同时负责事故现场的保护。</w:t>
      </w:r>
    </w:p>
    <w:p w14:paraId="096BED94">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（十二）乙方负责施工的工程项目及设施在施工期发生对第三方或甲方的人身财产损害的，由乙方承担一切赔偿责任。</w:t>
      </w:r>
    </w:p>
    <w:p w14:paraId="1744AC0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十三）乙方承建的项目，禁止再行转包。非主体工程需要分包的，必须报甲方工程项目主管部门批准。乙方必须对分包方进行安全管理与监督，分包工程发生安全事故时，乙方与分包单位承担全部责任（包括连带责任）。</w:t>
      </w:r>
    </w:p>
    <w:p w14:paraId="77C770D8">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十四）乙方根据安全生产管理目标，制定安全管理计划和安全施工方案，并在甲方安全生产管理办公室同意后实施。乙方在工人进场一周内，要填写三级教育卡，不得缺人漏人，三级教育卡由乙方保存并备查，经常教育由乙方负责。</w:t>
      </w:r>
    </w:p>
    <w:p w14:paraId="12D3EF7C">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（十五）乙方须建立安全生产</w:t>
      </w:r>
      <w:r>
        <w:rPr>
          <w:rFonts w:hint="eastAsia" w:ascii="宋体" w:hAnsi="宋体" w:eastAsia="宋体" w:cs="宋体"/>
          <w:color w:val="auto"/>
          <w:kern w:val="0"/>
          <w:sz w:val="24"/>
          <w:szCs w:val="24"/>
          <w:highlight w:val="none"/>
          <w:lang w:eastAsia="zh-CN"/>
        </w:rPr>
        <w:t>管理台账</w:t>
      </w:r>
      <w:r>
        <w:rPr>
          <w:rFonts w:hint="eastAsia" w:ascii="宋体" w:hAnsi="宋体" w:eastAsia="宋体" w:cs="宋体"/>
          <w:color w:val="auto"/>
          <w:kern w:val="0"/>
          <w:sz w:val="24"/>
          <w:szCs w:val="24"/>
          <w:highlight w:val="none"/>
        </w:rPr>
        <w:t>，接受甲方及上级有关部门检查。</w:t>
      </w:r>
    </w:p>
    <w:p w14:paraId="3C7AF1B2">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（十六）做好安全生产法律法规规定的其他工作。</w:t>
      </w:r>
    </w:p>
    <w:p w14:paraId="78DD321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四、法律责任</w:t>
      </w:r>
    </w:p>
    <w:p w14:paraId="7CEF5E4F">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（1）发包人有违反本协议书责任行为，按照《建设工程安全生产管理条例》的规定限期改正，造成重大安全事故，构成犯罪的，对直接责任人员，依照刑法有关规定追究刑事 责任；造成损失的，依法承担赔偿责任。</w:t>
      </w:r>
    </w:p>
    <w:p w14:paraId="7E0B99B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（2）承包人有违反本协议书责任行为，按照《建设工程安全生产管理条例》的规定限期改正，直至停业整顿。造成重大安全事故，构成犯罪的，对直接责任人员，依照刑法有 关规定追究刑事责任；造成损失的，依法承担赔偿责任。</w:t>
      </w:r>
    </w:p>
    <w:p w14:paraId="56F2A00F">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本协议书作为工程施工合同的附件，与工程施工合同具有同等法律效力。经双方签署后立即生效。</w:t>
      </w:r>
    </w:p>
    <w:p w14:paraId="3396D4F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本协议书的有效期为双方签署之日起至该工程项目竣工验收合格时止。</w:t>
      </w:r>
    </w:p>
    <w:p w14:paraId="42E2503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五、对本协议所确</w:t>
      </w:r>
      <w:r>
        <w:rPr>
          <w:rFonts w:hint="eastAsia" w:ascii="宋体" w:hAnsi="宋体" w:eastAsia="宋体" w:cs="宋体"/>
          <w:color w:val="auto"/>
          <w:kern w:val="0"/>
          <w:sz w:val="24"/>
          <w:szCs w:val="24"/>
          <w:highlight w:val="none"/>
          <w:lang w:eastAsia="zh-CN"/>
        </w:rPr>
        <w:t>定的</w:t>
      </w:r>
      <w:r>
        <w:rPr>
          <w:rFonts w:hint="eastAsia" w:ascii="宋体" w:hAnsi="宋体" w:eastAsia="宋体" w:cs="宋体"/>
          <w:color w:val="auto"/>
          <w:kern w:val="0"/>
          <w:sz w:val="24"/>
          <w:szCs w:val="24"/>
          <w:highlight w:val="none"/>
        </w:rPr>
        <w:t>安全生产职责双方均应严格遵守和履行，对发生在各自职责范围内的安全生产事故由责任方承担全部责任，因此而给对方造成损失的，由责任方负责赔偿。</w:t>
      </w:r>
    </w:p>
    <w:p w14:paraId="17253028">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六、本协议作为工程合同的附件，与主合同具有同等的法律效力。</w:t>
      </w:r>
    </w:p>
    <w:p w14:paraId="76F26E88">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七、本协议有效期为双方签署之日起至该工程项目全部结算完毕时止。</w:t>
      </w:r>
    </w:p>
    <w:p w14:paraId="7A9DE6B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本协议一式</w:t>
      </w:r>
      <w:r>
        <w:rPr>
          <w:rFonts w:hint="eastAsia" w:ascii="宋体" w:hAnsi="宋体" w:eastAsia="宋体" w:cs="宋体"/>
          <w:color w:val="auto"/>
          <w:kern w:val="0"/>
          <w:sz w:val="24"/>
          <w:szCs w:val="24"/>
          <w:highlight w:val="none"/>
          <w:u w:val="single"/>
          <w:lang w:val="en-US" w:eastAsia="zh-CN"/>
        </w:rPr>
        <w:t>陆</w:t>
      </w:r>
      <w:r>
        <w:rPr>
          <w:rFonts w:hint="eastAsia" w:ascii="宋体" w:hAnsi="宋体" w:eastAsia="宋体" w:cs="宋体"/>
          <w:color w:val="auto"/>
          <w:kern w:val="0"/>
          <w:sz w:val="24"/>
          <w:szCs w:val="24"/>
          <w:highlight w:val="none"/>
        </w:rPr>
        <w:t>份，甲方执</w:t>
      </w:r>
      <w:r>
        <w:rPr>
          <w:rFonts w:hint="eastAsia" w:ascii="宋体" w:hAnsi="宋体" w:eastAsia="宋体" w:cs="宋体"/>
          <w:color w:val="auto"/>
          <w:kern w:val="0"/>
          <w:sz w:val="24"/>
          <w:szCs w:val="24"/>
          <w:highlight w:val="none"/>
          <w:u w:val="single"/>
          <w:lang w:val="en-US" w:eastAsia="zh-CN"/>
        </w:rPr>
        <w:t>叁</w:t>
      </w:r>
      <w:r>
        <w:rPr>
          <w:rFonts w:hint="eastAsia" w:ascii="宋体" w:hAnsi="宋体" w:eastAsia="宋体" w:cs="宋体"/>
          <w:color w:val="auto"/>
          <w:kern w:val="0"/>
          <w:sz w:val="24"/>
          <w:szCs w:val="24"/>
          <w:highlight w:val="none"/>
        </w:rPr>
        <w:t>份，乙方执</w:t>
      </w:r>
      <w:r>
        <w:rPr>
          <w:rFonts w:hint="eastAsia" w:ascii="宋体" w:hAnsi="宋体" w:eastAsia="宋体" w:cs="宋体"/>
          <w:color w:val="auto"/>
          <w:kern w:val="0"/>
          <w:sz w:val="24"/>
          <w:szCs w:val="24"/>
          <w:highlight w:val="none"/>
          <w:u w:val="single"/>
          <w:lang w:val="en-US" w:eastAsia="zh-CN"/>
        </w:rPr>
        <w:t>叁</w:t>
      </w:r>
      <w:r>
        <w:rPr>
          <w:rFonts w:hint="eastAsia" w:ascii="宋体" w:hAnsi="宋体" w:eastAsia="宋体" w:cs="宋体"/>
          <w:color w:val="auto"/>
          <w:kern w:val="0"/>
          <w:sz w:val="24"/>
          <w:szCs w:val="24"/>
          <w:highlight w:val="none"/>
        </w:rPr>
        <w:t>份。</w:t>
      </w:r>
    </w:p>
    <w:p w14:paraId="7661B9C6">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color w:val="auto"/>
          <w:kern w:val="0"/>
          <w:sz w:val="24"/>
          <w:szCs w:val="24"/>
          <w:highlight w:val="none"/>
        </w:rPr>
      </w:pPr>
    </w:p>
    <w:p w14:paraId="6B2E2C84">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甲方单位：                                  乙方单位：</w:t>
      </w:r>
    </w:p>
    <w:p w14:paraId="0E3CE14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（盖章）                                    （盖章）</w:t>
      </w:r>
    </w:p>
    <w:p w14:paraId="770B9C42">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                                法定代表人：</w:t>
      </w:r>
    </w:p>
    <w:p w14:paraId="7511B2F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（或授权委托人）                            （或授权委托人）</w:t>
      </w:r>
    </w:p>
    <w:p w14:paraId="07107B5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                                      地址：</w:t>
      </w:r>
    </w:p>
    <w:p w14:paraId="6E0DC252">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电话：                                      电话：</w:t>
      </w:r>
    </w:p>
    <w:p w14:paraId="5A3580D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b/>
          <w:bCs/>
          <w:color w:val="auto"/>
          <w:sz w:val="28"/>
          <w:szCs w:val="28"/>
          <w:highlight w:val="none"/>
          <w:lang w:val="zh-CN"/>
        </w:rPr>
      </w:pP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年   月   日                            202</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年   月   日</w:t>
      </w:r>
      <w:r>
        <w:rPr>
          <w:rFonts w:hint="eastAsia" w:ascii="宋体" w:hAnsi="宋体" w:eastAsia="宋体" w:cs="宋体"/>
          <w:color w:val="auto"/>
          <w:sz w:val="24"/>
          <w:szCs w:val="24"/>
          <w:highlight w:val="none"/>
        </w:rPr>
        <w:br w:type="page"/>
      </w:r>
      <w:r>
        <w:rPr>
          <w:rFonts w:hint="eastAsia" w:ascii="宋体" w:hAnsi="宋体"/>
          <w:b/>
          <w:bCs/>
          <w:color w:val="auto"/>
          <w:sz w:val="28"/>
          <w:szCs w:val="28"/>
          <w:highlight w:val="none"/>
          <w:lang w:val="zh-CN"/>
        </w:rPr>
        <w:t>附件四：</w:t>
      </w:r>
    </w:p>
    <w:p w14:paraId="2A1625D0">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kern w:val="0"/>
          <w:sz w:val="32"/>
          <w:szCs w:val="32"/>
          <w:highlight w:val="none"/>
          <w:lang w:val="zh-CN" w:bidi="zh-CN"/>
        </w:rPr>
        <w:t>建设工程农民工工资支付承诺书</w:t>
      </w:r>
    </w:p>
    <w:p w14:paraId="0113E47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根据《中华人民共和国劳动合同法》之规定，我方现就农民工工资支付事宜郑重承诺如下：</w:t>
      </w:r>
    </w:p>
    <w:p w14:paraId="26E329F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一、我方是本工程农民工管理的责任人，全面负责施工过程中农民工的管理、用工合同管理</w:t>
      </w:r>
      <w:r>
        <w:rPr>
          <w:rFonts w:hint="eastAsia" w:ascii="宋体" w:hAnsi="宋体" w:eastAsia="宋体" w:cs="宋体"/>
          <w:color w:val="auto"/>
          <w:kern w:val="0"/>
          <w:sz w:val="24"/>
          <w:szCs w:val="24"/>
          <w:highlight w:val="none"/>
          <w:lang w:eastAsia="zh-CN"/>
        </w:rPr>
        <w:t>和农</w:t>
      </w:r>
      <w:r>
        <w:rPr>
          <w:rFonts w:hint="eastAsia" w:ascii="宋体" w:hAnsi="宋体" w:eastAsia="宋体" w:cs="宋体"/>
          <w:color w:val="auto"/>
          <w:kern w:val="0"/>
          <w:sz w:val="24"/>
          <w:szCs w:val="24"/>
          <w:highlight w:val="none"/>
        </w:rPr>
        <w:t>民工工资发放等工作。</w:t>
      </w:r>
    </w:p>
    <w:p w14:paraId="10803AE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二、我方在施工过程中，必须确保按规定、按时支付农民工工资，民工工资必须直接发放到</w:t>
      </w:r>
      <w:r>
        <w:rPr>
          <w:rFonts w:hint="eastAsia" w:ascii="宋体" w:hAnsi="宋体" w:eastAsia="宋体" w:cs="宋体"/>
          <w:color w:val="auto"/>
          <w:kern w:val="0"/>
          <w:sz w:val="24"/>
          <w:szCs w:val="24"/>
          <w:highlight w:val="none"/>
          <w:lang w:eastAsia="zh-CN"/>
        </w:rPr>
        <w:t>农民工</w:t>
      </w:r>
      <w:r>
        <w:rPr>
          <w:rFonts w:hint="eastAsia" w:ascii="宋体" w:hAnsi="宋体" w:eastAsia="宋体" w:cs="宋体"/>
          <w:color w:val="auto"/>
          <w:kern w:val="0"/>
          <w:sz w:val="24"/>
          <w:szCs w:val="24"/>
          <w:highlight w:val="none"/>
        </w:rPr>
        <w:t>本人手中：</w:t>
      </w:r>
    </w:p>
    <w:p w14:paraId="68191F2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（1）我方承诺在收到工程款后10日内付清全部农民工工资。</w:t>
      </w:r>
    </w:p>
    <w:p w14:paraId="645E854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（2）所支付的农民工工资必须直接发到农民工本人或委托人手中，并由其签收。</w:t>
      </w:r>
    </w:p>
    <w:p w14:paraId="519FE82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三、期间我方如发生拖欠农民工工资现象发包方可按以下方式处理：</w:t>
      </w:r>
    </w:p>
    <w:p w14:paraId="3BF70C6A">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1、农民工工资经发包人和承包人核实后，由发包人直接垫付发到农民工本人手中，并由其签收；</w:t>
      </w:r>
    </w:p>
    <w:p w14:paraId="7D3C991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sz w:val="24"/>
          <w:szCs w:val="24"/>
          <w:highlight w:val="none"/>
        </w:rPr>
        <w:t>垫付费用由发包人按垫付总额乘以N(具体数额见《系数N取值表》）系数向承包人收回，从工程款中直接扣除。系数N取值表：</w:t>
      </w:r>
    </w:p>
    <w:tbl>
      <w:tblPr>
        <w:tblStyle w:val="10"/>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3685"/>
        <w:gridCol w:w="3458"/>
      </w:tblGrid>
      <w:tr w14:paraId="2BF2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49" w:type="dxa"/>
            <w:gridSpan w:val="3"/>
            <w:tcBorders>
              <w:top w:val="single" w:color="auto" w:sz="4" w:space="0"/>
              <w:left w:val="single" w:color="auto" w:sz="4" w:space="0"/>
              <w:bottom w:val="single" w:color="auto" w:sz="4" w:space="0"/>
              <w:right w:val="single" w:color="auto" w:sz="4" w:space="0"/>
            </w:tcBorders>
            <w:noWrap w:val="0"/>
            <w:vAlign w:val="center"/>
          </w:tcPr>
          <w:p w14:paraId="4EE0F242">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系数N取值表</w:t>
            </w:r>
          </w:p>
        </w:tc>
      </w:tr>
      <w:tr w14:paraId="5486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6" w:type="dxa"/>
            <w:tcBorders>
              <w:top w:val="single" w:color="auto" w:sz="4" w:space="0"/>
              <w:left w:val="single" w:color="auto" w:sz="4" w:space="0"/>
              <w:bottom w:val="single" w:color="auto" w:sz="4" w:space="0"/>
              <w:right w:val="single" w:color="auto" w:sz="4" w:space="0"/>
            </w:tcBorders>
            <w:noWrap w:val="0"/>
            <w:vAlign w:val="center"/>
          </w:tcPr>
          <w:p w14:paraId="648AB8AF">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685" w:type="dxa"/>
            <w:tcBorders>
              <w:top w:val="single" w:color="auto" w:sz="4" w:space="0"/>
              <w:left w:val="single" w:color="auto" w:sz="4" w:space="0"/>
              <w:bottom w:val="single" w:color="auto" w:sz="4" w:space="0"/>
              <w:right w:val="single" w:color="auto" w:sz="4" w:space="0"/>
            </w:tcBorders>
            <w:noWrap w:val="0"/>
            <w:vAlign w:val="center"/>
          </w:tcPr>
          <w:p w14:paraId="62DA6EE4">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工程合同造价M（万元）</w:t>
            </w:r>
          </w:p>
        </w:tc>
        <w:tc>
          <w:tcPr>
            <w:tcW w:w="3458" w:type="dxa"/>
            <w:tcBorders>
              <w:top w:val="single" w:color="auto" w:sz="4" w:space="0"/>
              <w:left w:val="single" w:color="auto" w:sz="4" w:space="0"/>
              <w:bottom w:val="single" w:color="auto" w:sz="4" w:space="0"/>
              <w:right w:val="single" w:color="auto" w:sz="4" w:space="0"/>
            </w:tcBorders>
            <w:noWrap w:val="0"/>
            <w:vAlign w:val="center"/>
          </w:tcPr>
          <w:p w14:paraId="0E099483">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系数N取值</w:t>
            </w:r>
          </w:p>
        </w:tc>
      </w:tr>
      <w:tr w14:paraId="1D4F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6" w:type="dxa"/>
            <w:tcBorders>
              <w:top w:val="single" w:color="auto" w:sz="4" w:space="0"/>
              <w:left w:val="single" w:color="auto" w:sz="4" w:space="0"/>
              <w:bottom w:val="single" w:color="auto" w:sz="4" w:space="0"/>
              <w:right w:val="single" w:color="auto" w:sz="4" w:space="0"/>
            </w:tcBorders>
            <w:noWrap w:val="0"/>
            <w:vAlign w:val="center"/>
          </w:tcPr>
          <w:p w14:paraId="4301215C">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685" w:type="dxa"/>
            <w:tcBorders>
              <w:top w:val="single" w:color="auto" w:sz="4" w:space="0"/>
              <w:left w:val="single" w:color="auto" w:sz="4" w:space="0"/>
              <w:bottom w:val="single" w:color="auto" w:sz="4" w:space="0"/>
              <w:right w:val="single" w:color="auto" w:sz="4" w:space="0"/>
            </w:tcBorders>
            <w:noWrap w:val="0"/>
            <w:vAlign w:val="center"/>
          </w:tcPr>
          <w:p w14:paraId="2463D0FE">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M＜500</w:t>
            </w:r>
          </w:p>
        </w:tc>
        <w:tc>
          <w:tcPr>
            <w:tcW w:w="3458" w:type="dxa"/>
            <w:tcBorders>
              <w:top w:val="single" w:color="auto" w:sz="4" w:space="0"/>
              <w:left w:val="single" w:color="auto" w:sz="4" w:space="0"/>
              <w:bottom w:val="single" w:color="auto" w:sz="4" w:space="0"/>
              <w:right w:val="single" w:color="auto" w:sz="4" w:space="0"/>
            </w:tcBorders>
            <w:noWrap w:val="0"/>
            <w:vAlign w:val="center"/>
          </w:tcPr>
          <w:p w14:paraId="478E2E31">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r>
      <w:tr w14:paraId="6C7B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6" w:type="dxa"/>
            <w:tcBorders>
              <w:top w:val="single" w:color="auto" w:sz="4" w:space="0"/>
              <w:left w:val="single" w:color="auto" w:sz="4" w:space="0"/>
              <w:bottom w:val="single" w:color="auto" w:sz="4" w:space="0"/>
              <w:right w:val="single" w:color="auto" w:sz="4" w:space="0"/>
            </w:tcBorders>
            <w:noWrap w:val="0"/>
            <w:vAlign w:val="center"/>
          </w:tcPr>
          <w:p w14:paraId="41268922">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3685" w:type="dxa"/>
            <w:tcBorders>
              <w:top w:val="single" w:color="auto" w:sz="4" w:space="0"/>
              <w:left w:val="single" w:color="auto" w:sz="4" w:space="0"/>
              <w:bottom w:val="single" w:color="auto" w:sz="4" w:space="0"/>
              <w:right w:val="single" w:color="auto" w:sz="4" w:space="0"/>
            </w:tcBorders>
            <w:noWrap w:val="0"/>
            <w:vAlign w:val="center"/>
          </w:tcPr>
          <w:p w14:paraId="117AD6C2">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 ≤M＜1000</w:t>
            </w:r>
          </w:p>
        </w:tc>
        <w:tc>
          <w:tcPr>
            <w:tcW w:w="3458" w:type="dxa"/>
            <w:tcBorders>
              <w:top w:val="single" w:color="auto" w:sz="4" w:space="0"/>
              <w:left w:val="single" w:color="auto" w:sz="4" w:space="0"/>
              <w:bottom w:val="single" w:color="auto" w:sz="4" w:space="0"/>
              <w:right w:val="single" w:color="auto" w:sz="4" w:space="0"/>
            </w:tcBorders>
            <w:noWrap w:val="0"/>
            <w:vAlign w:val="center"/>
          </w:tcPr>
          <w:p w14:paraId="1FEA1F9F">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r>
      <w:tr w14:paraId="1FB6A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6" w:type="dxa"/>
            <w:tcBorders>
              <w:top w:val="single" w:color="auto" w:sz="4" w:space="0"/>
              <w:left w:val="single" w:color="auto" w:sz="4" w:space="0"/>
              <w:bottom w:val="single" w:color="auto" w:sz="4" w:space="0"/>
              <w:right w:val="single" w:color="auto" w:sz="4" w:space="0"/>
            </w:tcBorders>
            <w:noWrap w:val="0"/>
            <w:vAlign w:val="center"/>
          </w:tcPr>
          <w:p w14:paraId="5B5CF051">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3685" w:type="dxa"/>
            <w:tcBorders>
              <w:top w:val="single" w:color="auto" w:sz="4" w:space="0"/>
              <w:left w:val="single" w:color="auto" w:sz="4" w:space="0"/>
              <w:bottom w:val="single" w:color="auto" w:sz="4" w:space="0"/>
              <w:right w:val="single" w:color="auto" w:sz="4" w:space="0"/>
            </w:tcBorders>
            <w:noWrap w:val="0"/>
            <w:vAlign w:val="center"/>
          </w:tcPr>
          <w:p w14:paraId="1289AFF9">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1000≤M＜5000</w:t>
            </w:r>
          </w:p>
        </w:tc>
        <w:tc>
          <w:tcPr>
            <w:tcW w:w="3458" w:type="dxa"/>
            <w:tcBorders>
              <w:top w:val="single" w:color="auto" w:sz="4" w:space="0"/>
              <w:left w:val="single" w:color="auto" w:sz="4" w:space="0"/>
              <w:bottom w:val="single" w:color="auto" w:sz="4" w:space="0"/>
              <w:right w:val="single" w:color="auto" w:sz="4" w:space="0"/>
            </w:tcBorders>
            <w:noWrap w:val="0"/>
            <w:vAlign w:val="center"/>
          </w:tcPr>
          <w:p w14:paraId="439181D7">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r>
      <w:tr w14:paraId="3CFF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tcBorders>
              <w:top w:val="single" w:color="auto" w:sz="4" w:space="0"/>
              <w:left w:val="single" w:color="auto" w:sz="4" w:space="0"/>
              <w:bottom w:val="single" w:color="auto" w:sz="4" w:space="0"/>
              <w:right w:val="single" w:color="auto" w:sz="4" w:space="0"/>
            </w:tcBorders>
            <w:noWrap w:val="0"/>
            <w:vAlign w:val="center"/>
          </w:tcPr>
          <w:p w14:paraId="19AA5B7F">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3685" w:type="dxa"/>
            <w:tcBorders>
              <w:top w:val="single" w:color="auto" w:sz="4" w:space="0"/>
              <w:left w:val="single" w:color="auto" w:sz="4" w:space="0"/>
              <w:bottom w:val="single" w:color="auto" w:sz="4" w:space="0"/>
              <w:right w:val="single" w:color="auto" w:sz="4" w:space="0"/>
            </w:tcBorders>
            <w:noWrap w:val="0"/>
            <w:vAlign w:val="center"/>
          </w:tcPr>
          <w:p w14:paraId="2614D49B">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M≥5000</w:t>
            </w:r>
          </w:p>
        </w:tc>
        <w:tc>
          <w:tcPr>
            <w:tcW w:w="3458" w:type="dxa"/>
            <w:tcBorders>
              <w:top w:val="single" w:color="auto" w:sz="4" w:space="0"/>
              <w:left w:val="single" w:color="auto" w:sz="4" w:space="0"/>
              <w:bottom w:val="single" w:color="auto" w:sz="4" w:space="0"/>
              <w:right w:val="single" w:color="auto" w:sz="4" w:space="0"/>
            </w:tcBorders>
            <w:noWrap w:val="0"/>
            <w:vAlign w:val="center"/>
          </w:tcPr>
          <w:p w14:paraId="0CB06751">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r>
    </w:tbl>
    <w:p w14:paraId="0EA154F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3、如发生农民工讨薪事件，将对承包人处以20000元-100000元/次的罚款，发包人有权从工程款中直接扣除。</w:t>
      </w:r>
    </w:p>
    <w:p w14:paraId="396B3041">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4、承包人第一次出现拖欠农民工工资的现象，发包人将对其作出警告，若第二次再出现拖欠农民工工资的现象，承包人在今后5年内不得参与发包人的任何工程招标。</w:t>
      </w:r>
    </w:p>
    <w:p w14:paraId="6DF3E30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四、我方未履行承诺，负全部法律责任。</w:t>
      </w:r>
    </w:p>
    <w:p w14:paraId="202E094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承诺人（签字、盖章）：</w:t>
      </w:r>
    </w:p>
    <w:p w14:paraId="326260C1">
      <w:pPr>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年   月    日</w:t>
      </w:r>
    </w:p>
    <w:p w14:paraId="34DE7712">
      <w:pPr>
        <w:spacing w:line="360" w:lineRule="auto"/>
        <w:jc w:val="center"/>
        <w:rPr>
          <w:rFonts w:hint="eastAsia" w:ascii="宋体" w:hAnsi="宋体" w:eastAsia="宋体" w:cs="宋体"/>
          <w:color w:val="auto"/>
          <w:kern w:val="0"/>
          <w:sz w:val="24"/>
          <w:szCs w:val="24"/>
          <w:highlight w:val="none"/>
        </w:rPr>
      </w:pPr>
    </w:p>
    <w:p w14:paraId="6928523F">
      <w:pPr>
        <w:spacing w:line="360" w:lineRule="auto"/>
        <w:jc w:val="center"/>
        <w:rPr>
          <w:rFonts w:hint="eastAsia" w:ascii="宋体" w:hAnsi="宋体" w:eastAsia="宋体" w:cs="宋体"/>
          <w:color w:val="auto"/>
          <w:kern w:val="0"/>
          <w:sz w:val="24"/>
          <w:szCs w:val="24"/>
          <w:highlight w:val="none"/>
        </w:rPr>
      </w:pPr>
    </w:p>
    <w:p w14:paraId="5EA9F27E">
      <w:pPr>
        <w:spacing w:line="360" w:lineRule="auto"/>
        <w:jc w:val="center"/>
        <w:rPr>
          <w:rFonts w:hint="eastAsia" w:ascii="宋体" w:hAnsi="宋体" w:eastAsia="宋体" w:cs="宋体"/>
          <w:color w:val="auto"/>
          <w:kern w:val="0"/>
          <w:sz w:val="24"/>
          <w:szCs w:val="24"/>
          <w:highlight w:val="none"/>
        </w:rPr>
      </w:pPr>
    </w:p>
    <w:p w14:paraId="68AE0116">
      <w:pPr>
        <w:spacing w:line="360" w:lineRule="auto"/>
        <w:jc w:val="center"/>
        <w:rPr>
          <w:rFonts w:hint="eastAsia" w:ascii="宋体" w:hAnsi="宋体" w:eastAsia="宋体" w:cs="宋体"/>
          <w:color w:val="auto"/>
          <w:kern w:val="0"/>
          <w:sz w:val="24"/>
          <w:szCs w:val="24"/>
          <w:highlight w:val="none"/>
        </w:rPr>
      </w:pPr>
    </w:p>
    <w:p w14:paraId="0EEAA12E">
      <w:pPr>
        <w:spacing w:line="360" w:lineRule="auto"/>
        <w:jc w:val="center"/>
        <w:rPr>
          <w:rFonts w:hint="eastAsia" w:ascii="宋体" w:hAnsi="宋体" w:eastAsia="宋体" w:cs="宋体"/>
          <w:color w:val="auto"/>
          <w:kern w:val="0"/>
          <w:sz w:val="24"/>
          <w:szCs w:val="24"/>
          <w:highlight w:val="none"/>
        </w:rPr>
      </w:pPr>
    </w:p>
    <w:p w14:paraId="445A5473">
      <w:pPr>
        <w:spacing w:line="360" w:lineRule="auto"/>
        <w:jc w:val="center"/>
        <w:rPr>
          <w:rFonts w:hint="eastAsia" w:ascii="宋体" w:hAnsi="宋体" w:eastAsia="宋体" w:cs="Times New Roman"/>
          <w:b/>
          <w:bCs/>
          <w:color w:val="auto"/>
          <w:sz w:val="30"/>
          <w:szCs w:val="30"/>
          <w:highlight w:val="none"/>
        </w:rPr>
      </w:pPr>
      <w:r>
        <w:rPr>
          <w:rFonts w:hint="eastAsia" w:ascii="宋体" w:hAnsi="宋体" w:eastAsia="宋体" w:cs="Times New Roman"/>
          <w:b/>
          <w:bCs/>
          <w:color w:val="auto"/>
          <w:sz w:val="30"/>
          <w:szCs w:val="30"/>
          <w:highlight w:val="none"/>
        </w:rPr>
        <w:t>四、施工组织设计（或施工方案或实施方案）格式</w:t>
      </w:r>
    </w:p>
    <w:p w14:paraId="6661666C">
      <w:pPr>
        <w:rPr>
          <w:rFonts w:hint="eastAsia" w:ascii="宋体" w:hAnsi="宋体"/>
          <w:b/>
          <w:bCs/>
          <w:color w:val="auto"/>
          <w:sz w:val="24"/>
          <w:highlight w:val="none"/>
        </w:rPr>
      </w:pPr>
    </w:p>
    <w:p w14:paraId="24AC98FE">
      <w:pPr>
        <w:pStyle w:val="2"/>
        <w:numPr>
          <w:ilvl w:val="2"/>
          <w:numId w:val="0"/>
        </w:numPr>
        <w:ind w:left="720" w:hanging="720"/>
        <w:rPr>
          <w:rFonts w:hint="eastAsia" w:ascii="宋体" w:hAnsi="宋体" w:cs="宋体"/>
          <w:b w:val="0"/>
          <w:color w:val="auto"/>
          <w:sz w:val="28"/>
          <w:szCs w:val="28"/>
          <w:highlight w:val="none"/>
        </w:rPr>
      </w:pPr>
      <w:r>
        <w:rPr>
          <w:rFonts w:hint="eastAsia" w:ascii="宋体" w:hAnsi="宋体" w:cs="宋体"/>
          <w:color w:val="auto"/>
          <w:sz w:val="28"/>
          <w:szCs w:val="28"/>
          <w:highlight w:val="none"/>
        </w:rPr>
        <w:t>施工组织设计</w:t>
      </w:r>
    </w:p>
    <w:p w14:paraId="78E79C0D">
      <w:pPr>
        <w:spacing w:line="360" w:lineRule="auto"/>
        <w:ind w:firstLine="566" w:firstLineChars="236"/>
        <w:rPr>
          <w:rFonts w:hint="eastAsia" w:ascii="宋体" w:hAnsi="宋体" w:cs="宋体"/>
          <w:color w:val="auto"/>
          <w:sz w:val="24"/>
          <w:highlight w:val="none"/>
        </w:rPr>
      </w:pPr>
      <w:r>
        <w:rPr>
          <w:rFonts w:hint="eastAsia" w:ascii="宋体" w:hAnsi="宋体" w:cs="宋体"/>
          <w:color w:val="auto"/>
          <w:sz w:val="24"/>
          <w:highlight w:val="none"/>
        </w:rPr>
        <w:t>1、投标人应编制施工组织设计，编制具体要求是：编制时应采用文字并结合图表形式说明项目名称、建设地点、建设单位名称、项目主要施工内容、合同工期及各分部分项工程的施工方法、劳动力计划等；结合招标工程特点提出切实可行的工程质量、安全生产、文明施工、工程进度、技术组织措施，同时应对关键工序、复杂环节重点提出相应技术措施，如冬雨季施工技术措施、减少扰民噪音、降低环境污染技术措施、地下管线及其他地上地下设施的保护加固措施等。</w:t>
      </w:r>
    </w:p>
    <w:p w14:paraId="02F5D05A">
      <w:pPr>
        <w:spacing w:line="360" w:lineRule="auto"/>
        <w:ind w:left="539"/>
        <w:rPr>
          <w:rFonts w:hint="eastAsia" w:ascii="宋体" w:hAnsi="宋体" w:cs="宋体"/>
          <w:color w:val="auto"/>
          <w:sz w:val="24"/>
          <w:highlight w:val="none"/>
        </w:rPr>
      </w:pPr>
      <w:r>
        <w:rPr>
          <w:rFonts w:hint="eastAsia" w:ascii="宋体" w:hAnsi="宋体" w:cs="宋体"/>
          <w:color w:val="auto"/>
          <w:sz w:val="24"/>
          <w:highlight w:val="none"/>
        </w:rPr>
        <w:t>2、施工组织设计除采用文字表述外应附下列图表，图表及格式要求附后。</w:t>
      </w:r>
    </w:p>
    <w:p w14:paraId="10B9E388">
      <w:pPr>
        <w:spacing w:line="360" w:lineRule="auto"/>
        <w:ind w:left="539"/>
        <w:rPr>
          <w:rFonts w:hint="eastAsia" w:ascii="宋体" w:hAnsi="宋体" w:cs="宋体"/>
          <w:color w:val="auto"/>
          <w:sz w:val="24"/>
          <w:highlight w:val="none"/>
        </w:rPr>
      </w:pPr>
      <w:r>
        <w:rPr>
          <w:rFonts w:hint="eastAsia" w:ascii="宋体" w:hAnsi="宋体" w:cs="宋体"/>
          <w:color w:val="auto"/>
          <w:sz w:val="24"/>
          <w:highlight w:val="none"/>
        </w:rPr>
        <w:t xml:space="preserve">2.1劳动力计划表    </w:t>
      </w:r>
    </w:p>
    <w:p w14:paraId="73901D77">
      <w:pPr>
        <w:spacing w:line="360" w:lineRule="auto"/>
        <w:ind w:left="539"/>
        <w:rPr>
          <w:rFonts w:hint="eastAsia" w:ascii="宋体" w:hAnsi="宋体" w:cs="宋体"/>
          <w:color w:val="auto"/>
          <w:sz w:val="24"/>
          <w:highlight w:val="none"/>
        </w:rPr>
      </w:pPr>
      <w:r>
        <w:rPr>
          <w:rFonts w:hint="eastAsia" w:ascii="宋体" w:hAnsi="宋体" w:cs="宋体"/>
          <w:color w:val="auto"/>
          <w:sz w:val="24"/>
          <w:highlight w:val="none"/>
        </w:rPr>
        <w:t xml:space="preserve">2.2计划开、竣工日期和施工进度网络图    </w:t>
      </w:r>
    </w:p>
    <w:p w14:paraId="218A6935">
      <w:pPr>
        <w:spacing w:line="360" w:lineRule="auto"/>
        <w:ind w:left="539"/>
        <w:rPr>
          <w:rFonts w:hint="eastAsia" w:ascii="宋体" w:hAnsi="宋体" w:cs="宋体"/>
          <w:color w:val="auto"/>
          <w:sz w:val="24"/>
          <w:highlight w:val="none"/>
        </w:rPr>
      </w:pPr>
      <w:r>
        <w:rPr>
          <w:rFonts w:hint="eastAsia" w:ascii="宋体" w:hAnsi="宋体" w:cs="宋体"/>
          <w:color w:val="auto"/>
          <w:sz w:val="24"/>
          <w:highlight w:val="none"/>
        </w:rPr>
        <w:t>2.3施工总平面图</w:t>
      </w:r>
    </w:p>
    <w:p w14:paraId="5C08DCBC">
      <w:pPr>
        <w:spacing w:line="360" w:lineRule="auto"/>
        <w:ind w:left="539"/>
        <w:rPr>
          <w:rFonts w:hint="eastAsia" w:ascii="宋体" w:hAnsi="宋体" w:cs="宋体"/>
          <w:color w:val="auto"/>
          <w:sz w:val="24"/>
          <w:highlight w:val="none"/>
        </w:rPr>
      </w:pPr>
      <w:r>
        <w:rPr>
          <w:rFonts w:hint="eastAsia" w:ascii="宋体" w:hAnsi="宋体" w:cs="宋体"/>
          <w:color w:val="auto"/>
          <w:sz w:val="24"/>
          <w:highlight w:val="none"/>
        </w:rPr>
        <w:t xml:space="preserve">2.4临时用地表    </w:t>
      </w:r>
    </w:p>
    <w:p w14:paraId="666A71D3">
      <w:pPr>
        <w:spacing w:line="360" w:lineRule="auto"/>
        <w:ind w:left="539"/>
        <w:rPr>
          <w:rFonts w:hint="eastAsia" w:ascii="宋体" w:hAnsi="宋体" w:cs="宋体"/>
          <w:color w:val="auto"/>
          <w:sz w:val="24"/>
          <w:highlight w:val="none"/>
        </w:rPr>
      </w:pPr>
    </w:p>
    <w:p w14:paraId="64808C36">
      <w:pPr>
        <w:spacing w:line="360" w:lineRule="auto"/>
        <w:ind w:left="539"/>
        <w:rPr>
          <w:rFonts w:hint="eastAsia" w:ascii="宋体" w:hAnsi="宋体" w:cs="宋体"/>
          <w:color w:val="auto"/>
          <w:sz w:val="24"/>
          <w:highlight w:val="none"/>
        </w:rPr>
      </w:pPr>
    </w:p>
    <w:p w14:paraId="55F1919C">
      <w:pPr>
        <w:spacing w:line="360" w:lineRule="auto"/>
        <w:rPr>
          <w:rFonts w:hint="eastAsia" w:ascii="宋体" w:hAnsi="宋体" w:cs="宋体"/>
          <w:color w:val="auto"/>
          <w:highlight w:val="none"/>
        </w:rPr>
      </w:pPr>
    </w:p>
    <w:p w14:paraId="0E3D45CB">
      <w:pPr>
        <w:pStyle w:val="12"/>
        <w:rPr>
          <w:rFonts w:hint="eastAsia" w:ascii="宋体" w:hAnsi="宋体" w:cs="宋体"/>
          <w:color w:val="auto"/>
          <w:highlight w:val="none"/>
        </w:rPr>
      </w:pPr>
    </w:p>
    <w:p w14:paraId="61BEB22F">
      <w:pPr>
        <w:pStyle w:val="12"/>
        <w:rPr>
          <w:rFonts w:hint="eastAsia" w:ascii="宋体" w:hAnsi="宋体" w:cs="宋体"/>
          <w:color w:val="auto"/>
          <w:highlight w:val="none"/>
        </w:rPr>
      </w:pPr>
    </w:p>
    <w:p w14:paraId="628FB664">
      <w:pPr>
        <w:pStyle w:val="12"/>
        <w:rPr>
          <w:rFonts w:hint="eastAsia" w:ascii="宋体" w:hAnsi="宋体" w:cs="宋体"/>
          <w:color w:val="auto"/>
          <w:highlight w:val="none"/>
        </w:rPr>
      </w:pPr>
    </w:p>
    <w:p w14:paraId="4731B94C">
      <w:pPr>
        <w:pStyle w:val="12"/>
        <w:rPr>
          <w:rFonts w:hint="eastAsia" w:ascii="宋体" w:hAnsi="宋体" w:cs="宋体"/>
          <w:color w:val="auto"/>
          <w:highlight w:val="none"/>
        </w:rPr>
      </w:pPr>
    </w:p>
    <w:p w14:paraId="12BED05B">
      <w:pPr>
        <w:pStyle w:val="12"/>
        <w:rPr>
          <w:rFonts w:hint="eastAsia" w:ascii="宋体" w:hAnsi="宋体" w:cs="宋体"/>
          <w:color w:val="auto"/>
          <w:highlight w:val="none"/>
        </w:rPr>
      </w:pPr>
    </w:p>
    <w:p w14:paraId="30205EC6">
      <w:pPr>
        <w:pStyle w:val="12"/>
        <w:rPr>
          <w:rFonts w:hint="eastAsia" w:ascii="宋体" w:hAnsi="宋体" w:cs="宋体"/>
          <w:color w:val="auto"/>
          <w:highlight w:val="none"/>
        </w:rPr>
      </w:pPr>
    </w:p>
    <w:p w14:paraId="0BA82F2C">
      <w:pPr>
        <w:pStyle w:val="12"/>
        <w:rPr>
          <w:rFonts w:hint="eastAsia" w:ascii="宋体" w:hAnsi="宋体" w:cs="宋体"/>
          <w:color w:val="auto"/>
          <w:highlight w:val="none"/>
        </w:rPr>
      </w:pPr>
    </w:p>
    <w:p w14:paraId="32B5AD4E">
      <w:pPr>
        <w:pStyle w:val="12"/>
        <w:rPr>
          <w:rFonts w:hint="eastAsia" w:ascii="宋体" w:hAnsi="宋体" w:cs="宋体"/>
          <w:color w:val="auto"/>
          <w:highlight w:val="none"/>
        </w:rPr>
      </w:pPr>
    </w:p>
    <w:p w14:paraId="15B14F8B">
      <w:pPr>
        <w:pStyle w:val="12"/>
        <w:rPr>
          <w:rFonts w:hint="eastAsia" w:ascii="宋体" w:hAnsi="宋体" w:cs="宋体"/>
          <w:color w:val="auto"/>
          <w:highlight w:val="none"/>
        </w:rPr>
      </w:pPr>
    </w:p>
    <w:p w14:paraId="7650E5B3">
      <w:pPr>
        <w:pStyle w:val="12"/>
        <w:rPr>
          <w:rFonts w:hint="eastAsia" w:ascii="宋体" w:hAnsi="宋体" w:cs="宋体"/>
          <w:color w:val="auto"/>
          <w:highlight w:val="none"/>
        </w:rPr>
      </w:pPr>
    </w:p>
    <w:p w14:paraId="6F5FF89C">
      <w:pPr>
        <w:pStyle w:val="12"/>
        <w:rPr>
          <w:rFonts w:hint="eastAsia" w:ascii="宋体" w:hAnsi="宋体" w:cs="宋体"/>
          <w:color w:val="auto"/>
          <w:highlight w:val="none"/>
        </w:rPr>
      </w:pPr>
    </w:p>
    <w:p w14:paraId="5C95A495">
      <w:pPr>
        <w:pStyle w:val="12"/>
        <w:rPr>
          <w:rFonts w:hint="eastAsia" w:ascii="宋体" w:hAnsi="宋体" w:cs="宋体"/>
          <w:color w:val="auto"/>
          <w:highlight w:val="none"/>
        </w:rPr>
      </w:pPr>
    </w:p>
    <w:p w14:paraId="769E5736">
      <w:pPr>
        <w:pStyle w:val="12"/>
        <w:ind w:left="0" w:leftChars="0" w:firstLine="0" w:firstLineChars="0"/>
        <w:rPr>
          <w:rFonts w:hint="eastAsia" w:ascii="宋体" w:hAnsi="宋体" w:cs="宋体"/>
          <w:color w:val="auto"/>
          <w:highlight w:val="none"/>
        </w:rPr>
      </w:pPr>
    </w:p>
    <w:p w14:paraId="6A620886">
      <w:pPr>
        <w:keepNext/>
        <w:keepLines/>
        <w:spacing w:before="100" w:line="400" w:lineRule="exact"/>
        <w:jc w:val="center"/>
        <w:outlineLvl w:val="1"/>
        <w:rPr>
          <w:rFonts w:hint="eastAsia" w:ascii="宋体" w:hAnsi="宋体" w:cs="宋体"/>
          <w:color w:val="auto"/>
          <w:sz w:val="44"/>
          <w:szCs w:val="44"/>
          <w:highlight w:val="none"/>
          <w:u w:val="single"/>
        </w:rPr>
      </w:pPr>
      <w:bookmarkStart w:id="717" w:name="_Toc498006755"/>
      <w:r>
        <w:rPr>
          <w:rFonts w:hint="eastAsia" w:eastAsia="黑体" w:cs="宋体"/>
          <w:color w:val="auto"/>
          <w:sz w:val="28"/>
          <w:szCs w:val="20"/>
          <w:highlight w:val="none"/>
        </w:rPr>
        <w:t>封面</w:t>
      </w:r>
      <w:bookmarkEnd w:id="717"/>
    </w:p>
    <w:p w14:paraId="191A9284">
      <w:pPr>
        <w:jc w:val="center"/>
        <w:rPr>
          <w:rFonts w:hint="eastAsia" w:ascii="宋体" w:hAnsi="宋体" w:cs="宋体"/>
          <w:color w:val="auto"/>
          <w:sz w:val="44"/>
          <w:szCs w:val="44"/>
          <w:highlight w:val="none"/>
          <w:u w:val="single"/>
        </w:rPr>
      </w:pPr>
    </w:p>
    <w:p w14:paraId="30E893F2">
      <w:pPr>
        <w:jc w:val="center"/>
        <w:rPr>
          <w:rFonts w:hint="eastAsia" w:ascii="宋体" w:hAnsi="宋体" w:cs="宋体"/>
          <w:color w:val="auto"/>
          <w:sz w:val="36"/>
          <w:szCs w:val="44"/>
          <w:highlight w:val="none"/>
        </w:rPr>
      </w:pPr>
      <w:r>
        <w:rPr>
          <w:rFonts w:hint="eastAsia" w:ascii="宋体" w:hAnsi="宋体" w:cs="宋体"/>
          <w:color w:val="auto"/>
          <w:sz w:val="44"/>
          <w:szCs w:val="44"/>
          <w:highlight w:val="none"/>
          <w:u w:val="single"/>
        </w:rPr>
        <w:t xml:space="preserve">            </w:t>
      </w:r>
      <w:r>
        <w:rPr>
          <w:rFonts w:hint="eastAsia" w:ascii="宋体" w:hAnsi="宋体" w:cs="宋体"/>
          <w:color w:val="auto"/>
          <w:sz w:val="36"/>
          <w:szCs w:val="44"/>
          <w:highlight w:val="none"/>
        </w:rPr>
        <w:t>（工程名称）</w:t>
      </w:r>
    </w:p>
    <w:p w14:paraId="7072F17E">
      <w:pPr>
        <w:jc w:val="center"/>
        <w:rPr>
          <w:rFonts w:hint="eastAsia" w:ascii="宋体" w:hAnsi="宋体" w:cs="宋体"/>
          <w:color w:val="auto"/>
          <w:sz w:val="22"/>
          <w:szCs w:val="28"/>
          <w:highlight w:val="none"/>
        </w:rPr>
      </w:pPr>
    </w:p>
    <w:p w14:paraId="6BF32C27">
      <w:pPr>
        <w:jc w:val="center"/>
        <w:rPr>
          <w:color w:val="auto"/>
          <w:sz w:val="22"/>
          <w:szCs w:val="28"/>
          <w:highlight w:val="none"/>
        </w:rPr>
      </w:pPr>
    </w:p>
    <w:p w14:paraId="4E15FA60">
      <w:pPr>
        <w:jc w:val="center"/>
        <w:rPr>
          <w:color w:val="auto"/>
          <w:sz w:val="22"/>
          <w:szCs w:val="28"/>
          <w:highlight w:val="none"/>
        </w:rPr>
      </w:pPr>
    </w:p>
    <w:p w14:paraId="32C021B0">
      <w:pPr>
        <w:pStyle w:val="12"/>
        <w:rPr>
          <w:color w:val="auto"/>
          <w:highlight w:val="none"/>
        </w:rPr>
      </w:pPr>
    </w:p>
    <w:p w14:paraId="7AB1F671">
      <w:pPr>
        <w:spacing w:before="240" w:beforeLines="100"/>
        <w:jc w:val="center"/>
        <w:rPr>
          <w:rFonts w:hint="eastAsia"/>
          <w:b/>
          <w:bCs/>
          <w:color w:val="auto"/>
          <w:sz w:val="44"/>
          <w:szCs w:val="52"/>
          <w:highlight w:val="none"/>
          <w:lang w:eastAsia="zh-CN"/>
        </w:rPr>
      </w:pPr>
      <w:r>
        <w:rPr>
          <w:rFonts w:hint="eastAsia"/>
          <w:b/>
          <w:bCs/>
          <w:color w:val="auto"/>
          <w:sz w:val="44"/>
          <w:szCs w:val="52"/>
          <w:highlight w:val="none"/>
          <w:lang w:eastAsia="zh-CN"/>
        </w:rPr>
        <w:t>施</w:t>
      </w:r>
    </w:p>
    <w:p w14:paraId="36FAEBEC">
      <w:pPr>
        <w:spacing w:before="240" w:beforeLines="100"/>
        <w:jc w:val="center"/>
        <w:rPr>
          <w:rFonts w:hint="eastAsia"/>
          <w:b/>
          <w:bCs/>
          <w:color w:val="auto"/>
          <w:sz w:val="44"/>
          <w:szCs w:val="52"/>
          <w:highlight w:val="none"/>
          <w:lang w:eastAsia="zh-CN"/>
        </w:rPr>
      </w:pPr>
      <w:r>
        <w:rPr>
          <w:rFonts w:hint="eastAsia"/>
          <w:b/>
          <w:bCs/>
          <w:color w:val="auto"/>
          <w:sz w:val="44"/>
          <w:szCs w:val="52"/>
          <w:highlight w:val="none"/>
          <w:lang w:eastAsia="zh-CN"/>
        </w:rPr>
        <w:t>工</w:t>
      </w:r>
    </w:p>
    <w:p w14:paraId="1AC50E39">
      <w:pPr>
        <w:spacing w:before="240" w:beforeLines="100"/>
        <w:jc w:val="center"/>
        <w:rPr>
          <w:rFonts w:hint="eastAsia"/>
          <w:b/>
          <w:bCs/>
          <w:color w:val="auto"/>
          <w:sz w:val="44"/>
          <w:szCs w:val="52"/>
          <w:highlight w:val="none"/>
          <w:lang w:eastAsia="zh-CN"/>
        </w:rPr>
      </w:pPr>
      <w:r>
        <w:rPr>
          <w:rFonts w:hint="eastAsia"/>
          <w:b/>
          <w:bCs/>
          <w:color w:val="auto"/>
          <w:sz w:val="44"/>
          <w:szCs w:val="52"/>
          <w:highlight w:val="none"/>
          <w:lang w:eastAsia="zh-CN"/>
        </w:rPr>
        <w:t>组</w:t>
      </w:r>
    </w:p>
    <w:p w14:paraId="5EF492CF">
      <w:pPr>
        <w:spacing w:before="240" w:beforeLines="100"/>
        <w:jc w:val="center"/>
        <w:rPr>
          <w:rFonts w:hint="eastAsia"/>
          <w:b/>
          <w:bCs/>
          <w:color w:val="auto"/>
          <w:sz w:val="44"/>
          <w:szCs w:val="52"/>
          <w:highlight w:val="none"/>
          <w:lang w:eastAsia="zh-CN"/>
        </w:rPr>
      </w:pPr>
      <w:r>
        <w:rPr>
          <w:rFonts w:hint="eastAsia"/>
          <w:b/>
          <w:bCs/>
          <w:color w:val="auto"/>
          <w:sz w:val="44"/>
          <w:szCs w:val="52"/>
          <w:highlight w:val="none"/>
          <w:lang w:eastAsia="zh-CN"/>
        </w:rPr>
        <w:t>织</w:t>
      </w:r>
    </w:p>
    <w:p w14:paraId="2B1E9610">
      <w:pPr>
        <w:spacing w:before="240" w:beforeLines="100"/>
        <w:jc w:val="center"/>
        <w:rPr>
          <w:rFonts w:hint="eastAsia"/>
          <w:b/>
          <w:bCs/>
          <w:color w:val="auto"/>
          <w:sz w:val="44"/>
          <w:szCs w:val="52"/>
          <w:highlight w:val="none"/>
          <w:lang w:eastAsia="zh-CN"/>
        </w:rPr>
      </w:pPr>
      <w:r>
        <w:rPr>
          <w:rFonts w:hint="eastAsia"/>
          <w:b/>
          <w:bCs/>
          <w:color w:val="auto"/>
          <w:sz w:val="44"/>
          <w:szCs w:val="52"/>
          <w:highlight w:val="none"/>
          <w:lang w:eastAsia="zh-CN"/>
        </w:rPr>
        <w:t>设</w:t>
      </w:r>
    </w:p>
    <w:p w14:paraId="42A6BB38">
      <w:pPr>
        <w:spacing w:before="240" w:beforeLines="100"/>
        <w:jc w:val="center"/>
        <w:rPr>
          <w:rFonts w:hint="eastAsia"/>
          <w:color w:val="auto"/>
          <w:sz w:val="44"/>
          <w:szCs w:val="52"/>
          <w:highlight w:val="none"/>
        </w:rPr>
      </w:pPr>
      <w:r>
        <w:rPr>
          <w:rFonts w:hint="eastAsia"/>
          <w:b/>
          <w:bCs/>
          <w:color w:val="auto"/>
          <w:sz w:val="44"/>
          <w:szCs w:val="52"/>
          <w:highlight w:val="none"/>
          <w:lang w:eastAsia="zh-CN"/>
        </w:rPr>
        <w:t>计</w:t>
      </w:r>
      <w:r>
        <w:rPr>
          <w:rFonts w:hint="eastAsia"/>
          <w:b/>
          <w:bCs/>
          <w:color w:val="auto"/>
          <w:sz w:val="44"/>
          <w:szCs w:val="52"/>
          <w:highlight w:val="none"/>
        </w:rPr>
        <w:t xml:space="preserve"> </w:t>
      </w:r>
      <w:r>
        <w:rPr>
          <w:rFonts w:hint="eastAsia"/>
          <w:color w:val="auto"/>
          <w:sz w:val="44"/>
          <w:szCs w:val="52"/>
          <w:highlight w:val="none"/>
        </w:rPr>
        <w:t xml:space="preserve"> </w:t>
      </w:r>
    </w:p>
    <w:p w14:paraId="1C06E437">
      <w:pPr>
        <w:jc w:val="both"/>
        <w:rPr>
          <w:color w:val="auto"/>
          <w:sz w:val="32"/>
          <w:szCs w:val="32"/>
          <w:highlight w:val="none"/>
        </w:rPr>
      </w:pPr>
    </w:p>
    <w:p w14:paraId="094FBB2F">
      <w:pPr>
        <w:jc w:val="center"/>
        <w:rPr>
          <w:color w:val="auto"/>
          <w:sz w:val="32"/>
          <w:szCs w:val="32"/>
          <w:highlight w:val="none"/>
        </w:rPr>
      </w:pPr>
    </w:p>
    <w:p w14:paraId="35D231CD">
      <w:pPr>
        <w:spacing w:line="360" w:lineRule="auto"/>
        <w:jc w:val="center"/>
        <w:rPr>
          <w:color w:val="auto"/>
          <w:sz w:val="24"/>
          <w:szCs w:val="28"/>
          <w:highlight w:val="none"/>
        </w:rPr>
      </w:pPr>
      <w:r>
        <w:rPr>
          <w:rFonts w:hint="eastAsia"/>
          <w:color w:val="auto"/>
          <w:sz w:val="24"/>
          <w:szCs w:val="28"/>
          <w:highlight w:val="none"/>
          <w:lang w:eastAsia="zh-CN"/>
        </w:rPr>
        <w:t>施工单位</w:t>
      </w:r>
      <w:r>
        <w:rPr>
          <w:color w:val="auto"/>
          <w:sz w:val="24"/>
          <w:szCs w:val="28"/>
          <w:highlight w:val="none"/>
        </w:rPr>
        <w:t>：</w:t>
      </w:r>
      <w:r>
        <w:rPr>
          <w:color w:val="auto"/>
          <w:sz w:val="24"/>
          <w:szCs w:val="28"/>
          <w:highlight w:val="none"/>
          <w:u w:val="single"/>
        </w:rPr>
        <w:t xml:space="preserve">                       </w:t>
      </w:r>
      <w:r>
        <w:rPr>
          <w:rFonts w:hint="eastAsia"/>
          <w:color w:val="auto"/>
          <w:sz w:val="24"/>
          <w:szCs w:val="28"/>
          <w:highlight w:val="none"/>
          <w:u w:val="single"/>
        </w:rPr>
        <w:t xml:space="preserve">   </w:t>
      </w:r>
      <w:r>
        <w:rPr>
          <w:color w:val="auto"/>
          <w:sz w:val="24"/>
          <w:szCs w:val="28"/>
          <w:highlight w:val="none"/>
          <w:u w:val="single"/>
        </w:rPr>
        <w:t xml:space="preserve">       </w:t>
      </w:r>
      <w:r>
        <w:rPr>
          <w:color w:val="auto"/>
          <w:sz w:val="24"/>
          <w:szCs w:val="28"/>
          <w:highlight w:val="none"/>
        </w:rPr>
        <w:t>（盖单位章）</w:t>
      </w:r>
    </w:p>
    <w:p w14:paraId="533A6632">
      <w:pPr>
        <w:spacing w:line="360" w:lineRule="auto"/>
        <w:jc w:val="center"/>
        <w:rPr>
          <w:color w:val="auto"/>
          <w:sz w:val="24"/>
          <w:szCs w:val="28"/>
          <w:highlight w:val="none"/>
        </w:rPr>
      </w:pPr>
      <w:r>
        <w:rPr>
          <w:color w:val="auto"/>
          <w:sz w:val="24"/>
          <w:szCs w:val="28"/>
          <w:highlight w:val="none"/>
        </w:rPr>
        <w:t>法定代表人或其委托代理人：</w:t>
      </w:r>
      <w:r>
        <w:rPr>
          <w:color w:val="auto"/>
          <w:sz w:val="24"/>
          <w:szCs w:val="28"/>
          <w:highlight w:val="none"/>
          <w:u w:val="single"/>
        </w:rPr>
        <w:t xml:space="preserve">              </w:t>
      </w:r>
      <w:r>
        <w:rPr>
          <w:color w:val="auto"/>
          <w:sz w:val="24"/>
          <w:szCs w:val="28"/>
          <w:highlight w:val="none"/>
        </w:rPr>
        <w:t>（签字</w:t>
      </w:r>
      <w:r>
        <w:rPr>
          <w:rFonts w:hint="eastAsia"/>
          <w:color w:val="auto"/>
          <w:sz w:val="24"/>
          <w:szCs w:val="28"/>
          <w:highlight w:val="none"/>
        </w:rPr>
        <w:t>或盖章</w:t>
      </w:r>
      <w:r>
        <w:rPr>
          <w:color w:val="auto"/>
          <w:sz w:val="24"/>
          <w:szCs w:val="28"/>
          <w:highlight w:val="none"/>
        </w:rPr>
        <w:t>）</w:t>
      </w:r>
    </w:p>
    <w:p w14:paraId="5B43A445">
      <w:pPr>
        <w:jc w:val="center"/>
        <w:rPr>
          <w:color w:val="auto"/>
          <w:sz w:val="24"/>
          <w:szCs w:val="28"/>
          <w:highlight w:val="none"/>
        </w:rPr>
      </w:pPr>
    </w:p>
    <w:p w14:paraId="2D1EB0C1">
      <w:pPr>
        <w:jc w:val="center"/>
        <w:rPr>
          <w:color w:val="auto"/>
          <w:sz w:val="24"/>
          <w:szCs w:val="28"/>
          <w:highlight w:val="none"/>
        </w:rPr>
      </w:pPr>
    </w:p>
    <w:p w14:paraId="1F06A8A7">
      <w:pPr>
        <w:jc w:val="center"/>
        <w:rPr>
          <w:color w:val="auto"/>
          <w:sz w:val="24"/>
          <w:szCs w:val="28"/>
          <w:highlight w:val="none"/>
        </w:rPr>
      </w:pPr>
      <w:r>
        <w:rPr>
          <w:color w:val="auto"/>
          <w:sz w:val="24"/>
          <w:szCs w:val="28"/>
          <w:highlight w:val="none"/>
          <w:u w:val="single"/>
        </w:rPr>
        <w:t xml:space="preserve">         </w:t>
      </w:r>
      <w:r>
        <w:rPr>
          <w:color w:val="auto"/>
          <w:sz w:val="24"/>
          <w:szCs w:val="28"/>
          <w:highlight w:val="none"/>
        </w:rPr>
        <w:t>年</w:t>
      </w:r>
      <w:r>
        <w:rPr>
          <w:color w:val="auto"/>
          <w:sz w:val="24"/>
          <w:szCs w:val="28"/>
          <w:highlight w:val="none"/>
          <w:u w:val="single"/>
        </w:rPr>
        <w:t xml:space="preserve">         </w:t>
      </w:r>
      <w:r>
        <w:rPr>
          <w:color w:val="auto"/>
          <w:sz w:val="24"/>
          <w:szCs w:val="28"/>
          <w:highlight w:val="none"/>
        </w:rPr>
        <w:t>月</w:t>
      </w:r>
      <w:r>
        <w:rPr>
          <w:color w:val="auto"/>
          <w:sz w:val="24"/>
          <w:szCs w:val="28"/>
          <w:highlight w:val="none"/>
          <w:u w:val="single"/>
        </w:rPr>
        <w:t xml:space="preserve">         </w:t>
      </w:r>
      <w:r>
        <w:rPr>
          <w:color w:val="auto"/>
          <w:sz w:val="24"/>
          <w:szCs w:val="28"/>
          <w:highlight w:val="none"/>
        </w:rPr>
        <w:t>日</w:t>
      </w:r>
    </w:p>
    <w:p w14:paraId="1EFAD8D4">
      <w:pPr>
        <w:pStyle w:val="4"/>
        <w:rPr>
          <w:rFonts w:hint="eastAsia" w:ascii="宋体" w:hAnsi="宋体" w:cs="宋体"/>
          <w:color w:val="auto"/>
          <w:szCs w:val="21"/>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（1）劳动力计划表</w:t>
      </w:r>
      <w:r>
        <w:rPr>
          <w:rFonts w:hint="eastAsia" w:ascii="宋体" w:hAnsi="宋体" w:cs="宋体"/>
          <w:color w:val="auto"/>
          <w:szCs w:val="21"/>
          <w:highlight w:val="none"/>
        </w:rPr>
        <w:t xml:space="preserve">                                                                                                                                                                     </w:t>
      </w:r>
    </w:p>
    <w:p w14:paraId="4BB29DA5">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{招标工程项目名称}         </w:t>
      </w:r>
      <w:r>
        <w:rPr>
          <w:rFonts w:hint="eastAsia" w:ascii="宋体" w:hAnsi="宋体" w:cs="宋体"/>
          <w:color w:val="auto"/>
          <w:szCs w:val="21"/>
          <w:highlight w:val="none"/>
        </w:rPr>
        <w:t>工程                         单位： 人</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080"/>
        <w:gridCol w:w="1080"/>
        <w:gridCol w:w="1080"/>
        <w:gridCol w:w="1080"/>
        <w:gridCol w:w="1260"/>
        <w:gridCol w:w="1260"/>
        <w:gridCol w:w="1360"/>
      </w:tblGrid>
      <w:tr w14:paraId="2AAF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1008" w:type="dxa"/>
            <w:vMerge w:val="restart"/>
            <w:noWrap w:val="0"/>
            <w:vAlign w:val="center"/>
          </w:tcPr>
          <w:p w14:paraId="6BE0603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工种</w:t>
            </w:r>
          </w:p>
        </w:tc>
        <w:tc>
          <w:tcPr>
            <w:tcW w:w="8200" w:type="dxa"/>
            <w:gridSpan w:val="7"/>
            <w:noWrap w:val="0"/>
            <w:vAlign w:val="center"/>
          </w:tcPr>
          <w:p w14:paraId="188EB6D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按工程施工阶段投入劳动力情况</w:t>
            </w:r>
          </w:p>
        </w:tc>
      </w:tr>
      <w:tr w14:paraId="5FDD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trPr>
        <w:tc>
          <w:tcPr>
            <w:tcW w:w="1008" w:type="dxa"/>
            <w:vMerge w:val="continue"/>
            <w:noWrap w:val="0"/>
            <w:vAlign w:val="center"/>
          </w:tcPr>
          <w:p w14:paraId="1A74C96F">
            <w:pPr>
              <w:spacing w:line="360" w:lineRule="auto"/>
              <w:jc w:val="center"/>
              <w:rPr>
                <w:rFonts w:hint="eastAsia" w:ascii="宋体" w:hAnsi="宋体" w:cs="宋体"/>
                <w:color w:val="auto"/>
                <w:szCs w:val="21"/>
                <w:highlight w:val="none"/>
              </w:rPr>
            </w:pPr>
          </w:p>
        </w:tc>
        <w:tc>
          <w:tcPr>
            <w:tcW w:w="1080" w:type="dxa"/>
            <w:noWrap w:val="0"/>
            <w:vAlign w:val="center"/>
          </w:tcPr>
          <w:p w14:paraId="6018DA27">
            <w:pPr>
              <w:spacing w:line="360" w:lineRule="auto"/>
              <w:jc w:val="center"/>
              <w:rPr>
                <w:rFonts w:hint="eastAsia" w:ascii="宋体" w:hAnsi="宋体" w:cs="宋体"/>
                <w:color w:val="auto"/>
                <w:szCs w:val="21"/>
                <w:highlight w:val="none"/>
              </w:rPr>
            </w:pPr>
          </w:p>
        </w:tc>
        <w:tc>
          <w:tcPr>
            <w:tcW w:w="1080" w:type="dxa"/>
            <w:noWrap w:val="0"/>
            <w:vAlign w:val="center"/>
          </w:tcPr>
          <w:p w14:paraId="4F670E33">
            <w:pPr>
              <w:spacing w:line="360" w:lineRule="auto"/>
              <w:jc w:val="center"/>
              <w:rPr>
                <w:rFonts w:hint="eastAsia" w:ascii="宋体" w:hAnsi="宋体" w:cs="宋体"/>
                <w:color w:val="auto"/>
                <w:szCs w:val="21"/>
                <w:highlight w:val="none"/>
              </w:rPr>
            </w:pPr>
          </w:p>
        </w:tc>
        <w:tc>
          <w:tcPr>
            <w:tcW w:w="1080" w:type="dxa"/>
            <w:noWrap w:val="0"/>
            <w:vAlign w:val="center"/>
          </w:tcPr>
          <w:p w14:paraId="5F562DE2">
            <w:pPr>
              <w:spacing w:line="360" w:lineRule="auto"/>
              <w:jc w:val="center"/>
              <w:rPr>
                <w:rFonts w:hint="eastAsia" w:ascii="宋体" w:hAnsi="宋体" w:cs="宋体"/>
                <w:color w:val="auto"/>
                <w:szCs w:val="21"/>
                <w:highlight w:val="none"/>
              </w:rPr>
            </w:pPr>
          </w:p>
        </w:tc>
        <w:tc>
          <w:tcPr>
            <w:tcW w:w="1080" w:type="dxa"/>
            <w:noWrap w:val="0"/>
            <w:vAlign w:val="center"/>
          </w:tcPr>
          <w:p w14:paraId="5234B898">
            <w:pPr>
              <w:spacing w:line="360" w:lineRule="auto"/>
              <w:jc w:val="center"/>
              <w:rPr>
                <w:rFonts w:hint="eastAsia" w:ascii="宋体" w:hAnsi="宋体" w:cs="宋体"/>
                <w:color w:val="auto"/>
                <w:szCs w:val="21"/>
                <w:highlight w:val="none"/>
              </w:rPr>
            </w:pPr>
          </w:p>
        </w:tc>
        <w:tc>
          <w:tcPr>
            <w:tcW w:w="1260" w:type="dxa"/>
            <w:noWrap w:val="0"/>
            <w:vAlign w:val="center"/>
          </w:tcPr>
          <w:p w14:paraId="5FACE9BE">
            <w:pPr>
              <w:spacing w:line="360" w:lineRule="auto"/>
              <w:jc w:val="center"/>
              <w:rPr>
                <w:rFonts w:hint="eastAsia" w:ascii="宋体" w:hAnsi="宋体" w:cs="宋体"/>
                <w:color w:val="auto"/>
                <w:szCs w:val="21"/>
                <w:highlight w:val="none"/>
              </w:rPr>
            </w:pPr>
          </w:p>
        </w:tc>
        <w:tc>
          <w:tcPr>
            <w:tcW w:w="1260" w:type="dxa"/>
            <w:noWrap w:val="0"/>
            <w:vAlign w:val="center"/>
          </w:tcPr>
          <w:p w14:paraId="5D85E608">
            <w:pPr>
              <w:spacing w:line="360" w:lineRule="auto"/>
              <w:jc w:val="center"/>
              <w:rPr>
                <w:rFonts w:hint="eastAsia" w:ascii="宋体" w:hAnsi="宋体" w:cs="宋体"/>
                <w:color w:val="auto"/>
                <w:szCs w:val="21"/>
                <w:highlight w:val="none"/>
              </w:rPr>
            </w:pPr>
          </w:p>
        </w:tc>
        <w:tc>
          <w:tcPr>
            <w:tcW w:w="1360" w:type="dxa"/>
            <w:noWrap w:val="0"/>
            <w:vAlign w:val="center"/>
          </w:tcPr>
          <w:p w14:paraId="665D58F5">
            <w:pPr>
              <w:spacing w:line="360" w:lineRule="auto"/>
              <w:jc w:val="center"/>
              <w:rPr>
                <w:rFonts w:hint="eastAsia" w:ascii="宋体" w:hAnsi="宋体" w:cs="宋体"/>
                <w:color w:val="auto"/>
                <w:szCs w:val="21"/>
                <w:highlight w:val="none"/>
              </w:rPr>
            </w:pPr>
          </w:p>
        </w:tc>
      </w:tr>
      <w:tr w14:paraId="5300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08" w:type="dxa"/>
            <w:noWrap w:val="0"/>
            <w:vAlign w:val="top"/>
          </w:tcPr>
          <w:p w14:paraId="6F5AE464">
            <w:pPr>
              <w:spacing w:line="360" w:lineRule="auto"/>
              <w:rPr>
                <w:rFonts w:hint="eastAsia" w:ascii="宋体" w:hAnsi="宋体" w:cs="宋体"/>
                <w:color w:val="auto"/>
                <w:szCs w:val="21"/>
                <w:highlight w:val="none"/>
              </w:rPr>
            </w:pPr>
          </w:p>
        </w:tc>
        <w:tc>
          <w:tcPr>
            <w:tcW w:w="1080" w:type="dxa"/>
            <w:noWrap w:val="0"/>
            <w:vAlign w:val="top"/>
          </w:tcPr>
          <w:p w14:paraId="2E3DBF9F">
            <w:pPr>
              <w:spacing w:line="360" w:lineRule="auto"/>
              <w:rPr>
                <w:rFonts w:hint="eastAsia" w:ascii="宋体" w:hAnsi="宋体" w:cs="宋体"/>
                <w:color w:val="auto"/>
                <w:szCs w:val="21"/>
                <w:highlight w:val="none"/>
              </w:rPr>
            </w:pPr>
          </w:p>
        </w:tc>
        <w:tc>
          <w:tcPr>
            <w:tcW w:w="1080" w:type="dxa"/>
            <w:noWrap w:val="0"/>
            <w:vAlign w:val="top"/>
          </w:tcPr>
          <w:p w14:paraId="16C239AF">
            <w:pPr>
              <w:spacing w:line="360" w:lineRule="auto"/>
              <w:rPr>
                <w:rFonts w:hint="eastAsia" w:ascii="宋体" w:hAnsi="宋体" w:cs="宋体"/>
                <w:color w:val="auto"/>
                <w:szCs w:val="21"/>
                <w:highlight w:val="none"/>
              </w:rPr>
            </w:pPr>
          </w:p>
        </w:tc>
        <w:tc>
          <w:tcPr>
            <w:tcW w:w="1080" w:type="dxa"/>
            <w:noWrap w:val="0"/>
            <w:vAlign w:val="top"/>
          </w:tcPr>
          <w:p w14:paraId="4476AD20">
            <w:pPr>
              <w:spacing w:line="360" w:lineRule="auto"/>
              <w:rPr>
                <w:rFonts w:hint="eastAsia" w:ascii="宋体" w:hAnsi="宋体" w:cs="宋体"/>
                <w:color w:val="auto"/>
                <w:szCs w:val="21"/>
                <w:highlight w:val="none"/>
              </w:rPr>
            </w:pPr>
          </w:p>
        </w:tc>
        <w:tc>
          <w:tcPr>
            <w:tcW w:w="1080" w:type="dxa"/>
            <w:noWrap w:val="0"/>
            <w:vAlign w:val="top"/>
          </w:tcPr>
          <w:p w14:paraId="44E27A7E">
            <w:pPr>
              <w:spacing w:line="360" w:lineRule="auto"/>
              <w:rPr>
                <w:rFonts w:hint="eastAsia" w:ascii="宋体" w:hAnsi="宋体" w:cs="宋体"/>
                <w:color w:val="auto"/>
                <w:szCs w:val="21"/>
                <w:highlight w:val="none"/>
              </w:rPr>
            </w:pPr>
          </w:p>
        </w:tc>
        <w:tc>
          <w:tcPr>
            <w:tcW w:w="1260" w:type="dxa"/>
            <w:noWrap w:val="0"/>
            <w:vAlign w:val="top"/>
          </w:tcPr>
          <w:p w14:paraId="50584537">
            <w:pPr>
              <w:spacing w:line="360" w:lineRule="auto"/>
              <w:rPr>
                <w:rFonts w:hint="eastAsia" w:ascii="宋体" w:hAnsi="宋体" w:cs="宋体"/>
                <w:color w:val="auto"/>
                <w:szCs w:val="21"/>
                <w:highlight w:val="none"/>
              </w:rPr>
            </w:pPr>
          </w:p>
        </w:tc>
        <w:tc>
          <w:tcPr>
            <w:tcW w:w="1260" w:type="dxa"/>
            <w:noWrap w:val="0"/>
            <w:vAlign w:val="top"/>
          </w:tcPr>
          <w:p w14:paraId="0D52E2FD">
            <w:pPr>
              <w:spacing w:line="360" w:lineRule="auto"/>
              <w:rPr>
                <w:rFonts w:hint="eastAsia" w:ascii="宋体" w:hAnsi="宋体" w:cs="宋体"/>
                <w:color w:val="auto"/>
                <w:szCs w:val="21"/>
                <w:highlight w:val="none"/>
              </w:rPr>
            </w:pPr>
          </w:p>
        </w:tc>
        <w:tc>
          <w:tcPr>
            <w:tcW w:w="1360" w:type="dxa"/>
            <w:noWrap w:val="0"/>
            <w:vAlign w:val="top"/>
          </w:tcPr>
          <w:p w14:paraId="35F44466">
            <w:pPr>
              <w:spacing w:line="360" w:lineRule="auto"/>
              <w:rPr>
                <w:rFonts w:hint="eastAsia" w:ascii="宋体" w:hAnsi="宋体" w:cs="宋体"/>
                <w:color w:val="auto"/>
                <w:szCs w:val="21"/>
                <w:highlight w:val="none"/>
              </w:rPr>
            </w:pPr>
          </w:p>
        </w:tc>
      </w:tr>
      <w:tr w14:paraId="407B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08" w:type="dxa"/>
            <w:noWrap w:val="0"/>
            <w:vAlign w:val="top"/>
          </w:tcPr>
          <w:p w14:paraId="1B9E2C1D">
            <w:pPr>
              <w:spacing w:line="360" w:lineRule="auto"/>
              <w:rPr>
                <w:rFonts w:hint="eastAsia" w:ascii="宋体" w:hAnsi="宋体" w:cs="宋体"/>
                <w:color w:val="auto"/>
                <w:szCs w:val="21"/>
                <w:highlight w:val="none"/>
              </w:rPr>
            </w:pPr>
          </w:p>
        </w:tc>
        <w:tc>
          <w:tcPr>
            <w:tcW w:w="1080" w:type="dxa"/>
            <w:noWrap w:val="0"/>
            <w:vAlign w:val="top"/>
          </w:tcPr>
          <w:p w14:paraId="3A503C63">
            <w:pPr>
              <w:spacing w:line="360" w:lineRule="auto"/>
              <w:rPr>
                <w:rFonts w:hint="eastAsia" w:ascii="宋体" w:hAnsi="宋体" w:cs="宋体"/>
                <w:color w:val="auto"/>
                <w:szCs w:val="21"/>
                <w:highlight w:val="none"/>
              </w:rPr>
            </w:pPr>
          </w:p>
        </w:tc>
        <w:tc>
          <w:tcPr>
            <w:tcW w:w="1080" w:type="dxa"/>
            <w:noWrap w:val="0"/>
            <w:vAlign w:val="top"/>
          </w:tcPr>
          <w:p w14:paraId="5A53A68C">
            <w:pPr>
              <w:spacing w:line="360" w:lineRule="auto"/>
              <w:rPr>
                <w:rFonts w:hint="eastAsia" w:ascii="宋体" w:hAnsi="宋体" w:cs="宋体"/>
                <w:color w:val="auto"/>
                <w:szCs w:val="21"/>
                <w:highlight w:val="none"/>
              </w:rPr>
            </w:pPr>
          </w:p>
        </w:tc>
        <w:tc>
          <w:tcPr>
            <w:tcW w:w="1080" w:type="dxa"/>
            <w:noWrap w:val="0"/>
            <w:vAlign w:val="top"/>
          </w:tcPr>
          <w:p w14:paraId="2ACF18B2">
            <w:pPr>
              <w:spacing w:line="360" w:lineRule="auto"/>
              <w:rPr>
                <w:rFonts w:hint="eastAsia" w:ascii="宋体" w:hAnsi="宋体" w:cs="宋体"/>
                <w:color w:val="auto"/>
                <w:szCs w:val="21"/>
                <w:highlight w:val="none"/>
              </w:rPr>
            </w:pPr>
          </w:p>
        </w:tc>
        <w:tc>
          <w:tcPr>
            <w:tcW w:w="1080" w:type="dxa"/>
            <w:noWrap w:val="0"/>
            <w:vAlign w:val="top"/>
          </w:tcPr>
          <w:p w14:paraId="1DC245D7">
            <w:pPr>
              <w:spacing w:line="360" w:lineRule="auto"/>
              <w:rPr>
                <w:rFonts w:hint="eastAsia" w:ascii="宋体" w:hAnsi="宋体" w:cs="宋体"/>
                <w:color w:val="auto"/>
                <w:szCs w:val="21"/>
                <w:highlight w:val="none"/>
              </w:rPr>
            </w:pPr>
          </w:p>
        </w:tc>
        <w:tc>
          <w:tcPr>
            <w:tcW w:w="1260" w:type="dxa"/>
            <w:noWrap w:val="0"/>
            <w:vAlign w:val="top"/>
          </w:tcPr>
          <w:p w14:paraId="10510A57">
            <w:pPr>
              <w:spacing w:line="360" w:lineRule="auto"/>
              <w:rPr>
                <w:rFonts w:hint="eastAsia" w:ascii="宋体" w:hAnsi="宋体" w:cs="宋体"/>
                <w:color w:val="auto"/>
                <w:szCs w:val="21"/>
                <w:highlight w:val="none"/>
              </w:rPr>
            </w:pPr>
          </w:p>
        </w:tc>
        <w:tc>
          <w:tcPr>
            <w:tcW w:w="1260" w:type="dxa"/>
            <w:noWrap w:val="0"/>
            <w:vAlign w:val="top"/>
          </w:tcPr>
          <w:p w14:paraId="124A5330">
            <w:pPr>
              <w:spacing w:line="360" w:lineRule="auto"/>
              <w:rPr>
                <w:rFonts w:hint="eastAsia" w:ascii="宋体" w:hAnsi="宋体" w:cs="宋体"/>
                <w:color w:val="auto"/>
                <w:szCs w:val="21"/>
                <w:highlight w:val="none"/>
              </w:rPr>
            </w:pPr>
          </w:p>
        </w:tc>
        <w:tc>
          <w:tcPr>
            <w:tcW w:w="1360" w:type="dxa"/>
            <w:noWrap w:val="0"/>
            <w:vAlign w:val="top"/>
          </w:tcPr>
          <w:p w14:paraId="4D407AEF">
            <w:pPr>
              <w:spacing w:line="360" w:lineRule="auto"/>
              <w:rPr>
                <w:rFonts w:hint="eastAsia" w:ascii="宋体" w:hAnsi="宋体" w:cs="宋体"/>
                <w:color w:val="auto"/>
                <w:szCs w:val="21"/>
                <w:highlight w:val="none"/>
              </w:rPr>
            </w:pPr>
          </w:p>
        </w:tc>
      </w:tr>
      <w:tr w14:paraId="396F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08" w:type="dxa"/>
            <w:noWrap w:val="0"/>
            <w:vAlign w:val="top"/>
          </w:tcPr>
          <w:p w14:paraId="73CBF8A4">
            <w:pPr>
              <w:spacing w:line="360" w:lineRule="auto"/>
              <w:rPr>
                <w:rFonts w:hint="eastAsia" w:ascii="宋体" w:hAnsi="宋体" w:cs="宋体"/>
                <w:color w:val="auto"/>
                <w:szCs w:val="21"/>
                <w:highlight w:val="none"/>
              </w:rPr>
            </w:pPr>
          </w:p>
        </w:tc>
        <w:tc>
          <w:tcPr>
            <w:tcW w:w="1080" w:type="dxa"/>
            <w:noWrap w:val="0"/>
            <w:vAlign w:val="top"/>
          </w:tcPr>
          <w:p w14:paraId="7AA5EA56">
            <w:pPr>
              <w:spacing w:line="360" w:lineRule="auto"/>
              <w:rPr>
                <w:rFonts w:hint="eastAsia" w:ascii="宋体" w:hAnsi="宋体" w:cs="宋体"/>
                <w:color w:val="auto"/>
                <w:szCs w:val="21"/>
                <w:highlight w:val="none"/>
              </w:rPr>
            </w:pPr>
          </w:p>
        </w:tc>
        <w:tc>
          <w:tcPr>
            <w:tcW w:w="1080" w:type="dxa"/>
            <w:noWrap w:val="0"/>
            <w:vAlign w:val="top"/>
          </w:tcPr>
          <w:p w14:paraId="7353DC38">
            <w:pPr>
              <w:spacing w:line="360" w:lineRule="auto"/>
              <w:rPr>
                <w:rFonts w:hint="eastAsia" w:ascii="宋体" w:hAnsi="宋体" w:cs="宋体"/>
                <w:color w:val="auto"/>
                <w:szCs w:val="21"/>
                <w:highlight w:val="none"/>
              </w:rPr>
            </w:pPr>
          </w:p>
        </w:tc>
        <w:tc>
          <w:tcPr>
            <w:tcW w:w="1080" w:type="dxa"/>
            <w:noWrap w:val="0"/>
            <w:vAlign w:val="top"/>
          </w:tcPr>
          <w:p w14:paraId="1AC1D2E9">
            <w:pPr>
              <w:spacing w:line="360" w:lineRule="auto"/>
              <w:rPr>
                <w:rFonts w:hint="eastAsia" w:ascii="宋体" w:hAnsi="宋体" w:cs="宋体"/>
                <w:color w:val="auto"/>
                <w:szCs w:val="21"/>
                <w:highlight w:val="none"/>
              </w:rPr>
            </w:pPr>
          </w:p>
        </w:tc>
        <w:tc>
          <w:tcPr>
            <w:tcW w:w="1080" w:type="dxa"/>
            <w:noWrap w:val="0"/>
            <w:vAlign w:val="top"/>
          </w:tcPr>
          <w:p w14:paraId="6433D649">
            <w:pPr>
              <w:spacing w:line="360" w:lineRule="auto"/>
              <w:rPr>
                <w:rFonts w:hint="eastAsia" w:ascii="宋体" w:hAnsi="宋体" w:cs="宋体"/>
                <w:color w:val="auto"/>
                <w:szCs w:val="21"/>
                <w:highlight w:val="none"/>
              </w:rPr>
            </w:pPr>
          </w:p>
        </w:tc>
        <w:tc>
          <w:tcPr>
            <w:tcW w:w="1260" w:type="dxa"/>
            <w:noWrap w:val="0"/>
            <w:vAlign w:val="top"/>
          </w:tcPr>
          <w:p w14:paraId="7A0B9CAA">
            <w:pPr>
              <w:spacing w:line="360" w:lineRule="auto"/>
              <w:rPr>
                <w:rFonts w:hint="eastAsia" w:ascii="宋体" w:hAnsi="宋体" w:cs="宋体"/>
                <w:color w:val="auto"/>
                <w:szCs w:val="21"/>
                <w:highlight w:val="none"/>
              </w:rPr>
            </w:pPr>
          </w:p>
        </w:tc>
        <w:tc>
          <w:tcPr>
            <w:tcW w:w="1260" w:type="dxa"/>
            <w:noWrap w:val="0"/>
            <w:vAlign w:val="top"/>
          </w:tcPr>
          <w:p w14:paraId="06DDB2BF">
            <w:pPr>
              <w:spacing w:line="360" w:lineRule="auto"/>
              <w:rPr>
                <w:rFonts w:hint="eastAsia" w:ascii="宋体" w:hAnsi="宋体" w:cs="宋体"/>
                <w:color w:val="auto"/>
                <w:szCs w:val="21"/>
                <w:highlight w:val="none"/>
              </w:rPr>
            </w:pPr>
          </w:p>
        </w:tc>
        <w:tc>
          <w:tcPr>
            <w:tcW w:w="1360" w:type="dxa"/>
            <w:noWrap w:val="0"/>
            <w:vAlign w:val="top"/>
          </w:tcPr>
          <w:p w14:paraId="6523807D">
            <w:pPr>
              <w:spacing w:line="360" w:lineRule="auto"/>
              <w:rPr>
                <w:rFonts w:hint="eastAsia" w:ascii="宋体" w:hAnsi="宋体" w:cs="宋体"/>
                <w:color w:val="auto"/>
                <w:szCs w:val="21"/>
                <w:highlight w:val="none"/>
              </w:rPr>
            </w:pPr>
          </w:p>
        </w:tc>
      </w:tr>
      <w:tr w14:paraId="4196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08" w:type="dxa"/>
            <w:noWrap w:val="0"/>
            <w:vAlign w:val="top"/>
          </w:tcPr>
          <w:p w14:paraId="4802E047">
            <w:pPr>
              <w:spacing w:line="360" w:lineRule="auto"/>
              <w:rPr>
                <w:rFonts w:hint="eastAsia" w:ascii="宋体" w:hAnsi="宋体" w:cs="宋体"/>
                <w:color w:val="auto"/>
                <w:szCs w:val="21"/>
                <w:highlight w:val="none"/>
              </w:rPr>
            </w:pPr>
          </w:p>
        </w:tc>
        <w:tc>
          <w:tcPr>
            <w:tcW w:w="1080" w:type="dxa"/>
            <w:noWrap w:val="0"/>
            <w:vAlign w:val="top"/>
          </w:tcPr>
          <w:p w14:paraId="20B03871">
            <w:pPr>
              <w:spacing w:line="360" w:lineRule="auto"/>
              <w:rPr>
                <w:rFonts w:hint="eastAsia" w:ascii="宋体" w:hAnsi="宋体" w:cs="宋体"/>
                <w:color w:val="auto"/>
                <w:szCs w:val="21"/>
                <w:highlight w:val="none"/>
              </w:rPr>
            </w:pPr>
          </w:p>
        </w:tc>
        <w:tc>
          <w:tcPr>
            <w:tcW w:w="1080" w:type="dxa"/>
            <w:noWrap w:val="0"/>
            <w:vAlign w:val="top"/>
          </w:tcPr>
          <w:p w14:paraId="79E36426">
            <w:pPr>
              <w:spacing w:line="360" w:lineRule="auto"/>
              <w:rPr>
                <w:rFonts w:hint="eastAsia" w:ascii="宋体" w:hAnsi="宋体" w:cs="宋体"/>
                <w:color w:val="auto"/>
                <w:szCs w:val="21"/>
                <w:highlight w:val="none"/>
              </w:rPr>
            </w:pPr>
          </w:p>
        </w:tc>
        <w:tc>
          <w:tcPr>
            <w:tcW w:w="1080" w:type="dxa"/>
            <w:noWrap w:val="0"/>
            <w:vAlign w:val="top"/>
          </w:tcPr>
          <w:p w14:paraId="50D3D4EE">
            <w:pPr>
              <w:spacing w:line="360" w:lineRule="auto"/>
              <w:rPr>
                <w:rFonts w:hint="eastAsia" w:ascii="宋体" w:hAnsi="宋体" w:cs="宋体"/>
                <w:color w:val="auto"/>
                <w:szCs w:val="21"/>
                <w:highlight w:val="none"/>
              </w:rPr>
            </w:pPr>
          </w:p>
        </w:tc>
        <w:tc>
          <w:tcPr>
            <w:tcW w:w="1080" w:type="dxa"/>
            <w:noWrap w:val="0"/>
            <w:vAlign w:val="top"/>
          </w:tcPr>
          <w:p w14:paraId="31BE1B44">
            <w:pPr>
              <w:spacing w:line="360" w:lineRule="auto"/>
              <w:rPr>
                <w:rFonts w:hint="eastAsia" w:ascii="宋体" w:hAnsi="宋体" w:cs="宋体"/>
                <w:color w:val="auto"/>
                <w:szCs w:val="21"/>
                <w:highlight w:val="none"/>
              </w:rPr>
            </w:pPr>
          </w:p>
        </w:tc>
        <w:tc>
          <w:tcPr>
            <w:tcW w:w="1260" w:type="dxa"/>
            <w:noWrap w:val="0"/>
            <w:vAlign w:val="top"/>
          </w:tcPr>
          <w:p w14:paraId="4B7782A1">
            <w:pPr>
              <w:spacing w:line="360" w:lineRule="auto"/>
              <w:rPr>
                <w:rFonts w:hint="eastAsia" w:ascii="宋体" w:hAnsi="宋体" w:cs="宋体"/>
                <w:color w:val="auto"/>
                <w:szCs w:val="21"/>
                <w:highlight w:val="none"/>
              </w:rPr>
            </w:pPr>
          </w:p>
        </w:tc>
        <w:tc>
          <w:tcPr>
            <w:tcW w:w="1260" w:type="dxa"/>
            <w:noWrap w:val="0"/>
            <w:vAlign w:val="top"/>
          </w:tcPr>
          <w:p w14:paraId="533BF713">
            <w:pPr>
              <w:spacing w:line="360" w:lineRule="auto"/>
              <w:rPr>
                <w:rFonts w:hint="eastAsia" w:ascii="宋体" w:hAnsi="宋体" w:cs="宋体"/>
                <w:color w:val="auto"/>
                <w:szCs w:val="21"/>
                <w:highlight w:val="none"/>
              </w:rPr>
            </w:pPr>
          </w:p>
        </w:tc>
        <w:tc>
          <w:tcPr>
            <w:tcW w:w="1360" w:type="dxa"/>
            <w:noWrap w:val="0"/>
            <w:vAlign w:val="top"/>
          </w:tcPr>
          <w:p w14:paraId="3E057D23">
            <w:pPr>
              <w:spacing w:line="360" w:lineRule="auto"/>
              <w:rPr>
                <w:rFonts w:hint="eastAsia" w:ascii="宋体" w:hAnsi="宋体" w:cs="宋体"/>
                <w:color w:val="auto"/>
                <w:szCs w:val="21"/>
                <w:highlight w:val="none"/>
              </w:rPr>
            </w:pPr>
          </w:p>
        </w:tc>
      </w:tr>
      <w:tr w14:paraId="7E34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08" w:type="dxa"/>
            <w:noWrap w:val="0"/>
            <w:vAlign w:val="top"/>
          </w:tcPr>
          <w:p w14:paraId="2B8DACBE">
            <w:pPr>
              <w:spacing w:line="360" w:lineRule="auto"/>
              <w:rPr>
                <w:rFonts w:hint="eastAsia" w:ascii="宋体" w:hAnsi="宋体" w:cs="宋体"/>
                <w:color w:val="auto"/>
                <w:szCs w:val="21"/>
                <w:highlight w:val="none"/>
              </w:rPr>
            </w:pPr>
          </w:p>
        </w:tc>
        <w:tc>
          <w:tcPr>
            <w:tcW w:w="1080" w:type="dxa"/>
            <w:noWrap w:val="0"/>
            <w:vAlign w:val="top"/>
          </w:tcPr>
          <w:p w14:paraId="448ED6AC">
            <w:pPr>
              <w:spacing w:line="360" w:lineRule="auto"/>
              <w:rPr>
                <w:rFonts w:hint="eastAsia" w:ascii="宋体" w:hAnsi="宋体" w:cs="宋体"/>
                <w:color w:val="auto"/>
                <w:szCs w:val="21"/>
                <w:highlight w:val="none"/>
              </w:rPr>
            </w:pPr>
          </w:p>
        </w:tc>
        <w:tc>
          <w:tcPr>
            <w:tcW w:w="1080" w:type="dxa"/>
            <w:noWrap w:val="0"/>
            <w:vAlign w:val="top"/>
          </w:tcPr>
          <w:p w14:paraId="4E887EA2">
            <w:pPr>
              <w:spacing w:line="360" w:lineRule="auto"/>
              <w:rPr>
                <w:rFonts w:hint="eastAsia" w:ascii="宋体" w:hAnsi="宋体" w:cs="宋体"/>
                <w:color w:val="auto"/>
                <w:szCs w:val="21"/>
                <w:highlight w:val="none"/>
              </w:rPr>
            </w:pPr>
          </w:p>
        </w:tc>
        <w:tc>
          <w:tcPr>
            <w:tcW w:w="1080" w:type="dxa"/>
            <w:noWrap w:val="0"/>
            <w:vAlign w:val="top"/>
          </w:tcPr>
          <w:p w14:paraId="65F280BB">
            <w:pPr>
              <w:spacing w:line="360" w:lineRule="auto"/>
              <w:rPr>
                <w:rFonts w:hint="eastAsia" w:ascii="宋体" w:hAnsi="宋体" w:cs="宋体"/>
                <w:color w:val="auto"/>
                <w:szCs w:val="21"/>
                <w:highlight w:val="none"/>
              </w:rPr>
            </w:pPr>
          </w:p>
        </w:tc>
        <w:tc>
          <w:tcPr>
            <w:tcW w:w="1080" w:type="dxa"/>
            <w:noWrap w:val="0"/>
            <w:vAlign w:val="top"/>
          </w:tcPr>
          <w:p w14:paraId="68F69E5E">
            <w:pPr>
              <w:spacing w:line="360" w:lineRule="auto"/>
              <w:rPr>
                <w:rFonts w:hint="eastAsia" w:ascii="宋体" w:hAnsi="宋体" w:cs="宋体"/>
                <w:color w:val="auto"/>
                <w:szCs w:val="21"/>
                <w:highlight w:val="none"/>
              </w:rPr>
            </w:pPr>
          </w:p>
        </w:tc>
        <w:tc>
          <w:tcPr>
            <w:tcW w:w="1260" w:type="dxa"/>
            <w:noWrap w:val="0"/>
            <w:vAlign w:val="top"/>
          </w:tcPr>
          <w:p w14:paraId="44AEE581">
            <w:pPr>
              <w:spacing w:line="360" w:lineRule="auto"/>
              <w:rPr>
                <w:rFonts w:hint="eastAsia" w:ascii="宋体" w:hAnsi="宋体" w:cs="宋体"/>
                <w:color w:val="auto"/>
                <w:szCs w:val="21"/>
                <w:highlight w:val="none"/>
              </w:rPr>
            </w:pPr>
          </w:p>
        </w:tc>
        <w:tc>
          <w:tcPr>
            <w:tcW w:w="1260" w:type="dxa"/>
            <w:noWrap w:val="0"/>
            <w:vAlign w:val="top"/>
          </w:tcPr>
          <w:p w14:paraId="3E9A0CBF">
            <w:pPr>
              <w:spacing w:line="360" w:lineRule="auto"/>
              <w:rPr>
                <w:rFonts w:hint="eastAsia" w:ascii="宋体" w:hAnsi="宋体" w:cs="宋体"/>
                <w:color w:val="auto"/>
                <w:szCs w:val="21"/>
                <w:highlight w:val="none"/>
              </w:rPr>
            </w:pPr>
          </w:p>
        </w:tc>
        <w:tc>
          <w:tcPr>
            <w:tcW w:w="1360" w:type="dxa"/>
            <w:noWrap w:val="0"/>
            <w:vAlign w:val="top"/>
          </w:tcPr>
          <w:p w14:paraId="13D2896B">
            <w:pPr>
              <w:spacing w:line="360" w:lineRule="auto"/>
              <w:rPr>
                <w:rFonts w:hint="eastAsia" w:ascii="宋体" w:hAnsi="宋体" w:cs="宋体"/>
                <w:color w:val="auto"/>
                <w:szCs w:val="21"/>
                <w:highlight w:val="none"/>
              </w:rPr>
            </w:pPr>
          </w:p>
        </w:tc>
      </w:tr>
      <w:tr w14:paraId="53D3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08" w:type="dxa"/>
            <w:noWrap w:val="0"/>
            <w:vAlign w:val="top"/>
          </w:tcPr>
          <w:p w14:paraId="4FFBABE1">
            <w:pPr>
              <w:spacing w:line="360" w:lineRule="auto"/>
              <w:rPr>
                <w:rFonts w:hint="eastAsia" w:ascii="宋体" w:hAnsi="宋体" w:cs="宋体"/>
                <w:color w:val="auto"/>
                <w:szCs w:val="21"/>
                <w:highlight w:val="none"/>
              </w:rPr>
            </w:pPr>
          </w:p>
        </w:tc>
        <w:tc>
          <w:tcPr>
            <w:tcW w:w="1080" w:type="dxa"/>
            <w:noWrap w:val="0"/>
            <w:vAlign w:val="top"/>
          </w:tcPr>
          <w:p w14:paraId="3984FA8B">
            <w:pPr>
              <w:spacing w:line="360" w:lineRule="auto"/>
              <w:rPr>
                <w:rFonts w:hint="eastAsia" w:ascii="宋体" w:hAnsi="宋体" w:cs="宋体"/>
                <w:color w:val="auto"/>
                <w:szCs w:val="21"/>
                <w:highlight w:val="none"/>
              </w:rPr>
            </w:pPr>
          </w:p>
        </w:tc>
        <w:tc>
          <w:tcPr>
            <w:tcW w:w="1080" w:type="dxa"/>
            <w:noWrap w:val="0"/>
            <w:vAlign w:val="top"/>
          </w:tcPr>
          <w:p w14:paraId="2D873989">
            <w:pPr>
              <w:spacing w:line="360" w:lineRule="auto"/>
              <w:rPr>
                <w:rFonts w:hint="eastAsia" w:ascii="宋体" w:hAnsi="宋体" w:cs="宋体"/>
                <w:color w:val="auto"/>
                <w:szCs w:val="21"/>
                <w:highlight w:val="none"/>
              </w:rPr>
            </w:pPr>
          </w:p>
        </w:tc>
        <w:tc>
          <w:tcPr>
            <w:tcW w:w="1080" w:type="dxa"/>
            <w:noWrap w:val="0"/>
            <w:vAlign w:val="top"/>
          </w:tcPr>
          <w:p w14:paraId="4DC9726F">
            <w:pPr>
              <w:spacing w:line="360" w:lineRule="auto"/>
              <w:rPr>
                <w:rFonts w:hint="eastAsia" w:ascii="宋体" w:hAnsi="宋体" w:cs="宋体"/>
                <w:color w:val="auto"/>
                <w:szCs w:val="21"/>
                <w:highlight w:val="none"/>
              </w:rPr>
            </w:pPr>
          </w:p>
        </w:tc>
        <w:tc>
          <w:tcPr>
            <w:tcW w:w="1080" w:type="dxa"/>
            <w:noWrap w:val="0"/>
            <w:vAlign w:val="top"/>
          </w:tcPr>
          <w:p w14:paraId="16C0AC61">
            <w:pPr>
              <w:spacing w:line="360" w:lineRule="auto"/>
              <w:rPr>
                <w:rFonts w:hint="eastAsia" w:ascii="宋体" w:hAnsi="宋体" w:cs="宋体"/>
                <w:color w:val="auto"/>
                <w:szCs w:val="21"/>
                <w:highlight w:val="none"/>
              </w:rPr>
            </w:pPr>
          </w:p>
        </w:tc>
        <w:tc>
          <w:tcPr>
            <w:tcW w:w="1260" w:type="dxa"/>
            <w:noWrap w:val="0"/>
            <w:vAlign w:val="top"/>
          </w:tcPr>
          <w:p w14:paraId="5A043233">
            <w:pPr>
              <w:spacing w:line="360" w:lineRule="auto"/>
              <w:rPr>
                <w:rFonts w:hint="eastAsia" w:ascii="宋体" w:hAnsi="宋体" w:cs="宋体"/>
                <w:color w:val="auto"/>
                <w:szCs w:val="21"/>
                <w:highlight w:val="none"/>
              </w:rPr>
            </w:pPr>
          </w:p>
        </w:tc>
        <w:tc>
          <w:tcPr>
            <w:tcW w:w="1260" w:type="dxa"/>
            <w:noWrap w:val="0"/>
            <w:vAlign w:val="top"/>
          </w:tcPr>
          <w:p w14:paraId="1B80F439">
            <w:pPr>
              <w:spacing w:line="360" w:lineRule="auto"/>
              <w:rPr>
                <w:rFonts w:hint="eastAsia" w:ascii="宋体" w:hAnsi="宋体" w:cs="宋体"/>
                <w:color w:val="auto"/>
                <w:szCs w:val="21"/>
                <w:highlight w:val="none"/>
              </w:rPr>
            </w:pPr>
          </w:p>
        </w:tc>
        <w:tc>
          <w:tcPr>
            <w:tcW w:w="1360" w:type="dxa"/>
            <w:noWrap w:val="0"/>
            <w:vAlign w:val="top"/>
          </w:tcPr>
          <w:p w14:paraId="13C6F59E">
            <w:pPr>
              <w:spacing w:line="360" w:lineRule="auto"/>
              <w:rPr>
                <w:rFonts w:hint="eastAsia" w:ascii="宋体" w:hAnsi="宋体" w:cs="宋体"/>
                <w:color w:val="auto"/>
                <w:szCs w:val="21"/>
                <w:highlight w:val="none"/>
              </w:rPr>
            </w:pPr>
          </w:p>
        </w:tc>
      </w:tr>
      <w:tr w14:paraId="6DB1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08" w:type="dxa"/>
            <w:noWrap w:val="0"/>
            <w:vAlign w:val="top"/>
          </w:tcPr>
          <w:p w14:paraId="6E665E09">
            <w:pPr>
              <w:spacing w:line="360" w:lineRule="auto"/>
              <w:rPr>
                <w:rFonts w:hint="eastAsia" w:ascii="宋体" w:hAnsi="宋体" w:cs="宋体"/>
                <w:color w:val="auto"/>
                <w:szCs w:val="21"/>
                <w:highlight w:val="none"/>
              </w:rPr>
            </w:pPr>
          </w:p>
        </w:tc>
        <w:tc>
          <w:tcPr>
            <w:tcW w:w="1080" w:type="dxa"/>
            <w:noWrap w:val="0"/>
            <w:vAlign w:val="top"/>
          </w:tcPr>
          <w:p w14:paraId="461B54C9">
            <w:pPr>
              <w:spacing w:line="360" w:lineRule="auto"/>
              <w:rPr>
                <w:rFonts w:hint="eastAsia" w:ascii="宋体" w:hAnsi="宋体" w:cs="宋体"/>
                <w:color w:val="auto"/>
                <w:szCs w:val="21"/>
                <w:highlight w:val="none"/>
              </w:rPr>
            </w:pPr>
          </w:p>
        </w:tc>
        <w:tc>
          <w:tcPr>
            <w:tcW w:w="1080" w:type="dxa"/>
            <w:noWrap w:val="0"/>
            <w:vAlign w:val="top"/>
          </w:tcPr>
          <w:p w14:paraId="3D6A5A08">
            <w:pPr>
              <w:spacing w:line="360" w:lineRule="auto"/>
              <w:rPr>
                <w:rFonts w:hint="eastAsia" w:ascii="宋体" w:hAnsi="宋体" w:cs="宋体"/>
                <w:color w:val="auto"/>
                <w:szCs w:val="21"/>
                <w:highlight w:val="none"/>
              </w:rPr>
            </w:pPr>
          </w:p>
        </w:tc>
        <w:tc>
          <w:tcPr>
            <w:tcW w:w="1080" w:type="dxa"/>
            <w:noWrap w:val="0"/>
            <w:vAlign w:val="top"/>
          </w:tcPr>
          <w:p w14:paraId="01486C27">
            <w:pPr>
              <w:spacing w:line="360" w:lineRule="auto"/>
              <w:rPr>
                <w:rFonts w:hint="eastAsia" w:ascii="宋体" w:hAnsi="宋体" w:cs="宋体"/>
                <w:color w:val="auto"/>
                <w:szCs w:val="21"/>
                <w:highlight w:val="none"/>
              </w:rPr>
            </w:pPr>
          </w:p>
        </w:tc>
        <w:tc>
          <w:tcPr>
            <w:tcW w:w="1080" w:type="dxa"/>
            <w:noWrap w:val="0"/>
            <w:vAlign w:val="top"/>
          </w:tcPr>
          <w:p w14:paraId="13D9F039">
            <w:pPr>
              <w:spacing w:line="360" w:lineRule="auto"/>
              <w:rPr>
                <w:rFonts w:hint="eastAsia" w:ascii="宋体" w:hAnsi="宋体" w:cs="宋体"/>
                <w:color w:val="auto"/>
                <w:szCs w:val="21"/>
                <w:highlight w:val="none"/>
              </w:rPr>
            </w:pPr>
          </w:p>
        </w:tc>
        <w:tc>
          <w:tcPr>
            <w:tcW w:w="1260" w:type="dxa"/>
            <w:noWrap w:val="0"/>
            <w:vAlign w:val="top"/>
          </w:tcPr>
          <w:p w14:paraId="0079CEAE">
            <w:pPr>
              <w:spacing w:line="360" w:lineRule="auto"/>
              <w:rPr>
                <w:rFonts w:hint="eastAsia" w:ascii="宋体" w:hAnsi="宋体" w:cs="宋体"/>
                <w:color w:val="auto"/>
                <w:szCs w:val="21"/>
                <w:highlight w:val="none"/>
              </w:rPr>
            </w:pPr>
          </w:p>
        </w:tc>
        <w:tc>
          <w:tcPr>
            <w:tcW w:w="1260" w:type="dxa"/>
            <w:noWrap w:val="0"/>
            <w:vAlign w:val="top"/>
          </w:tcPr>
          <w:p w14:paraId="7728851D">
            <w:pPr>
              <w:spacing w:line="360" w:lineRule="auto"/>
              <w:rPr>
                <w:rFonts w:hint="eastAsia" w:ascii="宋体" w:hAnsi="宋体" w:cs="宋体"/>
                <w:color w:val="auto"/>
                <w:szCs w:val="21"/>
                <w:highlight w:val="none"/>
              </w:rPr>
            </w:pPr>
          </w:p>
        </w:tc>
        <w:tc>
          <w:tcPr>
            <w:tcW w:w="1360" w:type="dxa"/>
            <w:noWrap w:val="0"/>
            <w:vAlign w:val="top"/>
          </w:tcPr>
          <w:p w14:paraId="6C1ED37E">
            <w:pPr>
              <w:spacing w:line="360" w:lineRule="auto"/>
              <w:rPr>
                <w:rFonts w:hint="eastAsia" w:ascii="宋体" w:hAnsi="宋体" w:cs="宋体"/>
                <w:color w:val="auto"/>
                <w:szCs w:val="21"/>
                <w:highlight w:val="none"/>
              </w:rPr>
            </w:pPr>
          </w:p>
        </w:tc>
      </w:tr>
      <w:tr w14:paraId="5F45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08" w:type="dxa"/>
            <w:noWrap w:val="0"/>
            <w:vAlign w:val="top"/>
          </w:tcPr>
          <w:p w14:paraId="0784422F">
            <w:pPr>
              <w:spacing w:line="360" w:lineRule="auto"/>
              <w:rPr>
                <w:rFonts w:hint="eastAsia" w:ascii="宋体" w:hAnsi="宋体" w:cs="宋体"/>
                <w:color w:val="auto"/>
                <w:szCs w:val="21"/>
                <w:highlight w:val="none"/>
              </w:rPr>
            </w:pPr>
          </w:p>
        </w:tc>
        <w:tc>
          <w:tcPr>
            <w:tcW w:w="1080" w:type="dxa"/>
            <w:noWrap w:val="0"/>
            <w:vAlign w:val="top"/>
          </w:tcPr>
          <w:p w14:paraId="335496A0">
            <w:pPr>
              <w:spacing w:line="360" w:lineRule="auto"/>
              <w:rPr>
                <w:rFonts w:hint="eastAsia" w:ascii="宋体" w:hAnsi="宋体" w:cs="宋体"/>
                <w:color w:val="auto"/>
                <w:szCs w:val="21"/>
                <w:highlight w:val="none"/>
              </w:rPr>
            </w:pPr>
          </w:p>
        </w:tc>
        <w:tc>
          <w:tcPr>
            <w:tcW w:w="1080" w:type="dxa"/>
            <w:noWrap w:val="0"/>
            <w:vAlign w:val="top"/>
          </w:tcPr>
          <w:p w14:paraId="41F4195A">
            <w:pPr>
              <w:spacing w:line="360" w:lineRule="auto"/>
              <w:rPr>
                <w:rFonts w:hint="eastAsia" w:ascii="宋体" w:hAnsi="宋体" w:cs="宋体"/>
                <w:color w:val="auto"/>
                <w:szCs w:val="21"/>
                <w:highlight w:val="none"/>
              </w:rPr>
            </w:pPr>
          </w:p>
        </w:tc>
        <w:tc>
          <w:tcPr>
            <w:tcW w:w="1080" w:type="dxa"/>
            <w:noWrap w:val="0"/>
            <w:vAlign w:val="top"/>
          </w:tcPr>
          <w:p w14:paraId="3429AC17">
            <w:pPr>
              <w:spacing w:line="360" w:lineRule="auto"/>
              <w:rPr>
                <w:rFonts w:hint="eastAsia" w:ascii="宋体" w:hAnsi="宋体" w:cs="宋体"/>
                <w:color w:val="auto"/>
                <w:szCs w:val="21"/>
                <w:highlight w:val="none"/>
              </w:rPr>
            </w:pPr>
          </w:p>
        </w:tc>
        <w:tc>
          <w:tcPr>
            <w:tcW w:w="1080" w:type="dxa"/>
            <w:noWrap w:val="0"/>
            <w:vAlign w:val="top"/>
          </w:tcPr>
          <w:p w14:paraId="172E9721">
            <w:pPr>
              <w:pStyle w:val="5"/>
              <w:widowControl/>
              <w:adjustRightInd/>
              <w:spacing w:line="360" w:lineRule="auto"/>
              <w:textAlignment w:val="auto"/>
              <w:rPr>
                <w:rFonts w:hint="eastAsia" w:ascii="宋体" w:hAnsi="宋体" w:cs="宋体"/>
                <w:color w:val="auto"/>
                <w:sz w:val="21"/>
                <w:szCs w:val="21"/>
                <w:highlight w:val="none"/>
              </w:rPr>
            </w:pPr>
          </w:p>
        </w:tc>
        <w:tc>
          <w:tcPr>
            <w:tcW w:w="1260" w:type="dxa"/>
            <w:noWrap w:val="0"/>
            <w:vAlign w:val="top"/>
          </w:tcPr>
          <w:p w14:paraId="39938488">
            <w:pPr>
              <w:spacing w:line="360" w:lineRule="auto"/>
              <w:rPr>
                <w:rFonts w:hint="eastAsia" w:ascii="宋体" w:hAnsi="宋体" w:cs="宋体"/>
                <w:color w:val="auto"/>
                <w:szCs w:val="21"/>
                <w:highlight w:val="none"/>
              </w:rPr>
            </w:pPr>
          </w:p>
        </w:tc>
        <w:tc>
          <w:tcPr>
            <w:tcW w:w="1260" w:type="dxa"/>
            <w:noWrap w:val="0"/>
            <w:vAlign w:val="top"/>
          </w:tcPr>
          <w:p w14:paraId="62B99626">
            <w:pPr>
              <w:spacing w:line="360" w:lineRule="auto"/>
              <w:rPr>
                <w:rFonts w:hint="eastAsia" w:ascii="宋体" w:hAnsi="宋体" w:cs="宋体"/>
                <w:color w:val="auto"/>
                <w:szCs w:val="21"/>
                <w:highlight w:val="none"/>
              </w:rPr>
            </w:pPr>
          </w:p>
        </w:tc>
        <w:tc>
          <w:tcPr>
            <w:tcW w:w="1360" w:type="dxa"/>
            <w:noWrap w:val="0"/>
            <w:vAlign w:val="top"/>
          </w:tcPr>
          <w:p w14:paraId="4AB6134B">
            <w:pPr>
              <w:spacing w:line="360" w:lineRule="auto"/>
              <w:rPr>
                <w:rFonts w:hint="eastAsia" w:ascii="宋体" w:hAnsi="宋体" w:cs="宋体"/>
                <w:color w:val="auto"/>
                <w:szCs w:val="21"/>
                <w:highlight w:val="none"/>
              </w:rPr>
            </w:pPr>
          </w:p>
        </w:tc>
      </w:tr>
      <w:tr w14:paraId="33EC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08" w:type="dxa"/>
            <w:noWrap w:val="0"/>
            <w:vAlign w:val="top"/>
          </w:tcPr>
          <w:p w14:paraId="72B21770">
            <w:pPr>
              <w:spacing w:line="360" w:lineRule="auto"/>
              <w:rPr>
                <w:rFonts w:hint="eastAsia" w:ascii="宋体" w:hAnsi="宋体" w:cs="宋体"/>
                <w:color w:val="auto"/>
                <w:szCs w:val="21"/>
                <w:highlight w:val="none"/>
              </w:rPr>
            </w:pPr>
          </w:p>
        </w:tc>
        <w:tc>
          <w:tcPr>
            <w:tcW w:w="1080" w:type="dxa"/>
            <w:noWrap w:val="0"/>
            <w:vAlign w:val="top"/>
          </w:tcPr>
          <w:p w14:paraId="636AB2D9">
            <w:pPr>
              <w:spacing w:line="360" w:lineRule="auto"/>
              <w:rPr>
                <w:rFonts w:hint="eastAsia" w:ascii="宋体" w:hAnsi="宋体" w:cs="宋体"/>
                <w:color w:val="auto"/>
                <w:szCs w:val="21"/>
                <w:highlight w:val="none"/>
              </w:rPr>
            </w:pPr>
          </w:p>
        </w:tc>
        <w:tc>
          <w:tcPr>
            <w:tcW w:w="1080" w:type="dxa"/>
            <w:noWrap w:val="0"/>
            <w:vAlign w:val="top"/>
          </w:tcPr>
          <w:p w14:paraId="1619BFEC">
            <w:pPr>
              <w:spacing w:line="360" w:lineRule="auto"/>
              <w:rPr>
                <w:rFonts w:hint="eastAsia" w:ascii="宋体" w:hAnsi="宋体" w:cs="宋体"/>
                <w:color w:val="auto"/>
                <w:szCs w:val="21"/>
                <w:highlight w:val="none"/>
              </w:rPr>
            </w:pPr>
          </w:p>
        </w:tc>
        <w:tc>
          <w:tcPr>
            <w:tcW w:w="1080" w:type="dxa"/>
            <w:noWrap w:val="0"/>
            <w:vAlign w:val="top"/>
          </w:tcPr>
          <w:p w14:paraId="62251F0F">
            <w:pPr>
              <w:spacing w:line="360" w:lineRule="auto"/>
              <w:rPr>
                <w:rFonts w:hint="eastAsia" w:ascii="宋体" w:hAnsi="宋体" w:cs="宋体"/>
                <w:color w:val="auto"/>
                <w:szCs w:val="21"/>
                <w:highlight w:val="none"/>
              </w:rPr>
            </w:pPr>
          </w:p>
        </w:tc>
        <w:tc>
          <w:tcPr>
            <w:tcW w:w="1080" w:type="dxa"/>
            <w:noWrap w:val="0"/>
            <w:vAlign w:val="top"/>
          </w:tcPr>
          <w:p w14:paraId="3320A7FC">
            <w:pPr>
              <w:spacing w:line="360" w:lineRule="auto"/>
              <w:rPr>
                <w:rFonts w:hint="eastAsia" w:ascii="宋体" w:hAnsi="宋体" w:cs="宋体"/>
                <w:color w:val="auto"/>
                <w:szCs w:val="21"/>
                <w:highlight w:val="none"/>
              </w:rPr>
            </w:pPr>
          </w:p>
        </w:tc>
        <w:tc>
          <w:tcPr>
            <w:tcW w:w="1260" w:type="dxa"/>
            <w:noWrap w:val="0"/>
            <w:vAlign w:val="top"/>
          </w:tcPr>
          <w:p w14:paraId="00F56B96">
            <w:pPr>
              <w:spacing w:line="360" w:lineRule="auto"/>
              <w:rPr>
                <w:rFonts w:hint="eastAsia" w:ascii="宋体" w:hAnsi="宋体" w:cs="宋体"/>
                <w:color w:val="auto"/>
                <w:szCs w:val="21"/>
                <w:highlight w:val="none"/>
              </w:rPr>
            </w:pPr>
          </w:p>
        </w:tc>
        <w:tc>
          <w:tcPr>
            <w:tcW w:w="1260" w:type="dxa"/>
            <w:noWrap w:val="0"/>
            <w:vAlign w:val="top"/>
          </w:tcPr>
          <w:p w14:paraId="4B6C6926">
            <w:pPr>
              <w:spacing w:line="360" w:lineRule="auto"/>
              <w:rPr>
                <w:rFonts w:hint="eastAsia" w:ascii="宋体" w:hAnsi="宋体" w:cs="宋体"/>
                <w:color w:val="auto"/>
                <w:szCs w:val="21"/>
                <w:highlight w:val="none"/>
              </w:rPr>
            </w:pPr>
          </w:p>
        </w:tc>
        <w:tc>
          <w:tcPr>
            <w:tcW w:w="1360" w:type="dxa"/>
            <w:noWrap w:val="0"/>
            <w:vAlign w:val="top"/>
          </w:tcPr>
          <w:p w14:paraId="6A50E13D">
            <w:pPr>
              <w:spacing w:line="360" w:lineRule="auto"/>
              <w:rPr>
                <w:rFonts w:hint="eastAsia" w:ascii="宋体" w:hAnsi="宋体" w:cs="宋体"/>
                <w:color w:val="auto"/>
                <w:szCs w:val="21"/>
                <w:highlight w:val="none"/>
              </w:rPr>
            </w:pPr>
          </w:p>
        </w:tc>
      </w:tr>
      <w:tr w14:paraId="1407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08" w:type="dxa"/>
            <w:noWrap w:val="0"/>
            <w:vAlign w:val="top"/>
          </w:tcPr>
          <w:p w14:paraId="57556756">
            <w:pPr>
              <w:spacing w:line="360" w:lineRule="auto"/>
              <w:rPr>
                <w:rFonts w:hint="eastAsia" w:ascii="宋体" w:hAnsi="宋体" w:cs="宋体"/>
                <w:color w:val="auto"/>
                <w:szCs w:val="21"/>
                <w:highlight w:val="none"/>
              </w:rPr>
            </w:pPr>
          </w:p>
        </w:tc>
        <w:tc>
          <w:tcPr>
            <w:tcW w:w="1080" w:type="dxa"/>
            <w:noWrap w:val="0"/>
            <w:vAlign w:val="top"/>
          </w:tcPr>
          <w:p w14:paraId="367CE66F">
            <w:pPr>
              <w:spacing w:line="360" w:lineRule="auto"/>
              <w:rPr>
                <w:rFonts w:hint="eastAsia" w:ascii="宋体" w:hAnsi="宋体" w:cs="宋体"/>
                <w:color w:val="auto"/>
                <w:szCs w:val="21"/>
                <w:highlight w:val="none"/>
              </w:rPr>
            </w:pPr>
          </w:p>
        </w:tc>
        <w:tc>
          <w:tcPr>
            <w:tcW w:w="1080" w:type="dxa"/>
            <w:noWrap w:val="0"/>
            <w:vAlign w:val="top"/>
          </w:tcPr>
          <w:p w14:paraId="08B103BC">
            <w:pPr>
              <w:spacing w:line="360" w:lineRule="auto"/>
              <w:rPr>
                <w:rFonts w:hint="eastAsia" w:ascii="宋体" w:hAnsi="宋体" w:cs="宋体"/>
                <w:color w:val="auto"/>
                <w:szCs w:val="21"/>
                <w:highlight w:val="none"/>
              </w:rPr>
            </w:pPr>
          </w:p>
        </w:tc>
        <w:tc>
          <w:tcPr>
            <w:tcW w:w="1080" w:type="dxa"/>
            <w:noWrap w:val="0"/>
            <w:vAlign w:val="top"/>
          </w:tcPr>
          <w:p w14:paraId="12C247C7">
            <w:pPr>
              <w:spacing w:line="360" w:lineRule="auto"/>
              <w:rPr>
                <w:rFonts w:hint="eastAsia" w:ascii="宋体" w:hAnsi="宋体" w:cs="宋体"/>
                <w:color w:val="auto"/>
                <w:szCs w:val="21"/>
                <w:highlight w:val="none"/>
              </w:rPr>
            </w:pPr>
          </w:p>
        </w:tc>
        <w:tc>
          <w:tcPr>
            <w:tcW w:w="1080" w:type="dxa"/>
            <w:noWrap w:val="0"/>
            <w:vAlign w:val="top"/>
          </w:tcPr>
          <w:p w14:paraId="0243A092">
            <w:pPr>
              <w:spacing w:line="360" w:lineRule="auto"/>
              <w:rPr>
                <w:rFonts w:hint="eastAsia" w:ascii="宋体" w:hAnsi="宋体" w:cs="宋体"/>
                <w:color w:val="auto"/>
                <w:szCs w:val="21"/>
                <w:highlight w:val="none"/>
              </w:rPr>
            </w:pPr>
          </w:p>
        </w:tc>
        <w:tc>
          <w:tcPr>
            <w:tcW w:w="1260" w:type="dxa"/>
            <w:noWrap w:val="0"/>
            <w:vAlign w:val="top"/>
          </w:tcPr>
          <w:p w14:paraId="1532BB6D">
            <w:pPr>
              <w:spacing w:line="360" w:lineRule="auto"/>
              <w:rPr>
                <w:rFonts w:hint="eastAsia" w:ascii="宋体" w:hAnsi="宋体" w:cs="宋体"/>
                <w:color w:val="auto"/>
                <w:szCs w:val="21"/>
                <w:highlight w:val="none"/>
              </w:rPr>
            </w:pPr>
          </w:p>
        </w:tc>
        <w:tc>
          <w:tcPr>
            <w:tcW w:w="1260" w:type="dxa"/>
            <w:noWrap w:val="0"/>
            <w:vAlign w:val="top"/>
          </w:tcPr>
          <w:p w14:paraId="3659DFB5">
            <w:pPr>
              <w:spacing w:line="360" w:lineRule="auto"/>
              <w:rPr>
                <w:rFonts w:hint="eastAsia" w:ascii="宋体" w:hAnsi="宋体" w:cs="宋体"/>
                <w:color w:val="auto"/>
                <w:szCs w:val="21"/>
                <w:highlight w:val="none"/>
              </w:rPr>
            </w:pPr>
          </w:p>
        </w:tc>
        <w:tc>
          <w:tcPr>
            <w:tcW w:w="1360" w:type="dxa"/>
            <w:noWrap w:val="0"/>
            <w:vAlign w:val="top"/>
          </w:tcPr>
          <w:p w14:paraId="43D7F4DD">
            <w:pPr>
              <w:spacing w:line="360" w:lineRule="auto"/>
              <w:rPr>
                <w:rFonts w:hint="eastAsia" w:ascii="宋体" w:hAnsi="宋体" w:cs="宋体"/>
                <w:color w:val="auto"/>
                <w:szCs w:val="21"/>
                <w:highlight w:val="none"/>
              </w:rPr>
            </w:pPr>
          </w:p>
        </w:tc>
      </w:tr>
    </w:tbl>
    <w:p w14:paraId="04180C64">
      <w:pPr>
        <w:pStyle w:val="6"/>
        <w:spacing w:before="120" w:line="360" w:lineRule="auto"/>
        <w:rPr>
          <w:rFonts w:hint="eastAsia" w:ascii="宋体" w:hAnsi="宋体" w:cs="宋体"/>
          <w:snapToGrid w:val="0"/>
          <w:color w:val="auto"/>
          <w:kern w:val="0"/>
          <w:sz w:val="21"/>
          <w:highlight w:val="none"/>
        </w:rPr>
      </w:pPr>
      <w:r>
        <w:rPr>
          <w:rFonts w:hint="eastAsia" w:ascii="宋体" w:hAnsi="宋体" w:cs="宋体"/>
          <w:snapToGrid w:val="0"/>
          <w:color w:val="auto"/>
          <w:kern w:val="0"/>
          <w:sz w:val="21"/>
          <w:highlight w:val="none"/>
        </w:rPr>
        <w:t>注：1.投标人应按所列格式提交包括分包人在内的估计劳动力计划表。</w:t>
      </w:r>
    </w:p>
    <w:p w14:paraId="2BBF3093">
      <w:pPr>
        <w:tabs>
          <w:tab w:val="left" w:pos="0"/>
        </w:tabs>
        <w:spacing w:line="360" w:lineRule="auto"/>
        <w:ind w:right="-212" w:firstLine="400"/>
        <w:rPr>
          <w:rFonts w:hint="eastAsia" w:ascii="宋体" w:hAnsi="宋体" w:cs="宋体"/>
          <w:color w:val="auto"/>
          <w:highlight w:val="none"/>
        </w:rPr>
      </w:pPr>
      <w:r>
        <w:rPr>
          <w:rFonts w:hint="eastAsia" w:ascii="宋体" w:hAnsi="宋体" w:cs="宋体"/>
          <w:snapToGrid w:val="0"/>
          <w:color w:val="auto"/>
          <w:spacing w:val="1"/>
          <w:highlight w:val="none"/>
        </w:rPr>
        <w:t>2.本计划表是以每班八小时工作制为基础编制</w:t>
      </w:r>
      <w:r>
        <w:rPr>
          <w:rFonts w:hint="eastAsia" w:ascii="宋体" w:hAnsi="宋体" w:cs="宋体"/>
          <w:snapToGrid w:val="0"/>
          <w:color w:val="auto"/>
          <w:spacing w:val="-7"/>
          <w:highlight w:val="none"/>
        </w:rPr>
        <w:t>的</w:t>
      </w:r>
      <w:r>
        <w:rPr>
          <w:rFonts w:hint="eastAsia" w:ascii="宋体" w:hAnsi="宋体" w:cs="宋体"/>
          <w:snapToGrid w:val="0"/>
          <w:color w:val="auto"/>
          <w:highlight w:val="none"/>
        </w:rPr>
        <w:t>。</w:t>
      </w:r>
    </w:p>
    <w:p w14:paraId="69F66AC1">
      <w:pPr>
        <w:spacing w:line="360" w:lineRule="auto"/>
        <w:rPr>
          <w:rFonts w:hint="eastAsia" w:ascii="宋体" w:hAnsi="宋体" w:cs="宋体"/>
          <w:color w:val="auto"/>
          <w:highlight w:val="none"/>
        </w:rPr>
      </w:pPr>
    </w:p>
    <w:p w14:paraId="66611245">
      <w:pPr>
        <w:pStyle w:val="4"/>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（2）计划开、竣工日期和施工进度网络图</w:t>
      </w:r>
    </w:p>
    <w:p w14:paraId="75E7DC1E">
      <w:pPr>
        <w:spacing w:line="360" w:lineRule="auto"/>
        <w:jc w:val="right"/>
        <w:rPr>
          <w:rFonts w:hint="eastAsia" w:ascii="宋体" w:hAnsi="宋体" w:cs="宋体"/>
          <w:color w:val="auto"/>
          <w:sz w:val="36"/>
          <w:highlight w:val="none"/>
        </w:rPr>
      </w:pPr>
    </w:p>
    <w:p w14:paraId="3511038E">
      <w:pPr>
        <w:spacing w:line="360" w:lineRule="auto"/>
        <w:ind w:left="-6"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1.投标人应提交的施工进度网络图或施工进度表，说明按招标文件要求的工期进行施工的各个关键日期。中标的投标人还应按合同条件有关条款的要求提交详细的施工进度计划。</w:t>
      </w:r>
    </w:p>
    <w:p w14:paraId="50174015">
      <w:pPr>
        <w:spacing w:line="360" w:lineRule="auto"/>
        <w:ind w:left="-6"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2.施工进度表可采用网络图（或横道图）表示，说明计划开工日期和各分项工程各阶段的完工日期和分包合同签订的日期。</w:t>
      </w:r>
    </w:p>
    <w:p w14:paraId="6553EC3D">
      <w:pPr>
        <w:spacing w:line="360" w:lineRule="auto"/>
        <w:ind w:left="-6"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3.施工进度计划应与施工组织设计相适应。</w:t>
      </w:r>
    </w:p>
    <w:p w14:paraId="45EEA797">
      <w:pPr>
        <w:spacing w:line="360" w:lineRule="auto"/>
        <w:ind w:left="-6" w:firstLine="420"/>
        <w:rPr>
          <w:rFonts w:hint="eastAsia" w:ascii="宋体" w:hAnsi="宋体" w:cs="宋体"/>
          <w:color w:val="auto"/>
          <w:sz w:val="24"/>
          <w:highlight w:val="none"/>
        </w:rPr>
      </w:pPr>
    </w:p>
    <w:p w14:paraId="52994371">
      <w:pPr>
        <w:spacing w:line="360" w:lineRule="auto"/>
        <w:ind w:left="-6" w:firstLine="420"/>
        <w:rPr>
          <w:rFonts w:hint="eastAsia" w:ascii="宋体" w:hAnsi="宋体" w:cs="宋体"/>
          <w:color w:val="auto"/>
          <w:highlight w:val="none"/>
        </w:rPr>
      </w:pPr>
    </w:p>
    <w:p w14:paraId="40C44E13">
      <w:pPr>
        <w:spacing w:line="360" w:lineRule="auto"/>
        <w:ind w:left="-6" w:firstLine="420"/>
        <w:rPr>
          <w:rFonts w:hint="eastAsia" w:ascii="宋体" w:hAnsi="宋体" w:cs="宋体"/>
          <w:color w:val="auto"/>
          <w:highlight w:val="none"/>
        </w:rPr>
      </w:pPr>
    </w:p>
    <w:p w14:paraId="359D2960">
      <w:pPr>
        <w:pStyle w:val="4"/>
        <w:rPr>
          <w:rFonts w:hint="eastAsia" w:ascii="宋体" w:hAnsi="宋体" w:eastAsia="宋体" w:cs="宋体"/>
          <w:color w:val="auto"/>
          <w:highlight w:val="none"/>
        </w:rPr>
      </w:pPr>
      <w:r>
        <w:rPr>
          <w:rFonts w:hint="eastAsia" w:ascii="宋体" w:hAnsi="宋体" w:eastAsia="宋体" w:cs="宋体"/>
          <w:color w:val="auto"/>
          <w:highlight w:val="none"/>
        </w:rPr>
        <w:t>（3）施工总平面图</w:t>
      </w:r>
    </w:p>
    <w:p w14:paraId="4FCE4C94">
      <w:pPr>
        <w:spacing w:line="360" w:lineRule="auto"/>
        <w:rPr>
          <w:rFonts w:hint="eastAsia" w:ascii="宋体" w:hAnsi="宋体" w:cs="宋体"/>
          <w:color w:val="auto"/>
          <w:highlight w:val="none"/>
        </w:rPr>
      </w:pPr>
    </w:p>
    <w:p w14:paraId="4E59518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投标人应提交一份施工总平面图，绘出现场临时设施布置图表并附文字说明，说明临时设施、加工车间、现场办公、设备及仓储、供电、供水、卫生、生活等设施的情况和布置。</w:t>
      </w:r>
    </w:p>
    <w:p w14:paraId="415DD2F9">
      <w:pPr>
        <w:pStyle w:val="4"/>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（4）临时用地表</w:t>
      </w:r>
    </w:p>
    <w:p w14:paraId="2AC863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 xml:space="preserve">       {招标工程项目名称}       </w:t>
      </w:r>
      <w:r>
        <w:rPr>
          <w:rFonts w:hint="eastAsia" w:ascii="宋体" w:hAnsi="宋体" w:cs="宋体"/>
          <w:color w:val="auto"/>
          <w:szCs w:val="21"/>
          <w:highlight w:val="none"/>
        </w:rPr>
        <w:t xml:space="preserve">工程  </w:t>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 xml:space="preserve">                                       </w:t>
      </w:r>
    </w:p>
    <w:tbl>
      <w:tblPr>
        <w:tblStyle w:val="10"/>
        <w:tblW w:w="0" w:type="auto"/>
        <w:tblInd w:w="4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2"/>
        <w:gridCol w:w="2230"/>
        <w:gridCol w:w="2202"/>
        <w:gridCol w:w="2202"/>
      </w:tblGrid>
      <w:tr w14:paraId="6FBE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2202" w:type="dxa"/>
            <w:noWrap w:val="0"/>
            <w:vAlign w:val="center"/>
          </w:tcPr>
          <w:p w14:paraId="14B243D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用 途</w:t>
            </w:r>
          </w:p>
        </w:tc>
        <w:tc>
          <w:tcPr>
            <w:tcW w:w="2230" w:type="dxa"/>
            <w:noWrap w:val="0"/>
            <w:vAlign w:val="center"/>
          </w:tcPr>
          <w:p w14:paraId="1E8493F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面 积（平方米）</w:t>
            </w:r>
          </w:p>
        </w:tc>
        <w:tc>
          <w:tcPr>
            <w:tcW w:w="2202" w:type="dxa"/>
            <w:noWrap w:val="0"/>
            <w:vAlign w:val="center"/>
          </w:tcPr>
          <w:p w14:paraId="3807A3E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位 置</w:t>
            </w:r>
          </w:p>
        </w:tc>
        <w:tc>
          <w:tcPr>
            <w:tcW w:w="2202" w:type="dxa"/>
            <w:noWrap w:val="0"/>
            <w:vAlign w:val="center"/>
          </w:tcPr>
          <w:p w14:paraId="24FCEDE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需用时间</w:t>
            </w:r>
          </w:p>
        </w:tc>
      </w:tr>
      <w:tr w14:paraId="2B19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02" w:type="dxa"/>
            <w:noWrap w:val="0"/>
            <w:vAlign w:val="center"/>
          </w:tcPr>
          <w:p w14:paraId="527EE05A">
            <w:pPr>
              <w:spacing w:line="360" w:lineRule="auto"/>
              <w:jc w:val="center"/>
              <w:rPr>
                <w:rFonts w:hint="eastAsia" w:ascii="宋体" w:hAnsi="宋体" w:cs="宋体"/>
                <w:color w:val="auto"/>
                <w:szCs w:val="21"/>
                <w:highlight w:val="none"/>
              </w:rPr>
            </w:pPr>
          </w:p>
        </w:tc>
        <w:tc>
          <w:tcPr>
            <w:tcW w:w="2230" w:type="dxa"/>
            <w:noWrap w:val="0"/>
            <w:vAlign w:val="center"/>
          </w:tcPr>
          <w:p w14:paraId="49885FD0">
            <w:pPr>
              <w:spacing w:line="360" w:lineRule="auto"/>
              <w:jc w:val="center"/>
              <w:rPr>
                <w:rFonts w:hint="eastAsia" w:ascii="宋体" w:hAnsi="宋体" w:cs="宋体"/>
                <w:color w:val="auto"/>
                <w:szCs w:val="21"/>
                <w:highlight w:val="none"/>
              </w:rPr>
            </w:pPr>
          </w:p>
        </w:tc>
        <w:tc>
          <w:tcPr>
            <w:tcW w:w="2202" w:type="dxa"/>
            <w:noWrap w:val="0"/>
            <w:vAlign w:val="center"/>
          </w:tcPr>
          <w:p w14:paraId="0FE65B03">
            <w:pPr>
              <w:spacing w:line="360" w:lineRule="auto"/>
              <w:jc w:val="center"/>
              <w:rPr>
                <w:rFonts w:hint="eastAsia" w:ascii="宋体" w:hAnsi="宋体" w:cs="宋体"/>
                <w:color w:val="auto"/>
                <w:szCs w:val="21"/>
                <w:highlight w:val="none"/>
              </w:rPr>
            </w:pPr>
          </w:p>
        </w:tc>
        <w:tc>
          <w:tcPr>
            <w:tcW w:w="2202" w:type="dxa"/>
            <w:noWrap w:val="0"/>
            <w:vAlign w:val="center"/>
          </w:tcPr>
          <w:p w14:paraId="2006621C">
            <w:pPr>
              <w:spacing w:line="360" w:lineRule="auto"/>
              <w:jc w:val="center"/>
              <w:rPr>
                <w:rFonts w:hint="eastAsia" w:ascii="宋体" w:hAnsi="宋体" w:cs="宋体"/>
                <w:color w:val="auto"/>
                <w:szCs w:val="21"/>
                <w:highlight w:val="none"/>
              </w:rPr>
            </w:pPr>
          </w:p>
        </w:tc>
      </w:tr>
      <w:tr w14:paraId="4289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02" w:type="dxa"/>
            <w:noWrap w:val="0"/>
            <w:vAlign w:val="center"/>
          </w:tcPr>
          <w:p w14:paraId="1A9EE04C">
            <w:pPr>
              <w:spacing w:line="360" w:lineRule="auto"/>
              <w:jc w:val="center"/>
              <w:rPr>
                <w:rFonts w:hint="eastAsia" w:ascii="宋体" w:hAnsi="宋体" w:cs="宋体"/>
                <w:color w:val="auto"/>
                <w:szCs w:val="21"/>
                <w:highlight w:val="none"/>
              </w:rPr>
            </w:pPr>
          </w:p>
        </w:tc>
        <w:tc>
          <w:tcPr>
            <w:tcW w:w="2230" w:type="dxa"/>
            <w:noWrap w:val="0"/>
            <w:vAlign w:val="center"/>
          </w:tcPr>
          <w:p w14:paraId="7A69AF25">
            <w:pPr>
              <w:spacing w:line="360" w:lineRule="auto"/>
              <w:jc w:val="center"/>
              <w:rPr>
                <w:rFonts w:hint="eastAsia" w:ascii="宋体" w:hAnsi="宋体" w:cs="宋体"/>
                <w:color w:val="auto"/>
                <w:szCs w:val="21"/>
                <w:highlight w:val="none"/>
              </w:rPr>
            </w:pPr>
          </w:p>
        </w:tc>
        <w:tc>
          <w:tcPr>
            <w:tcW w:w="2202" w:type="dxa"/>
            <w:noWrap w:val="0"/>
            <w:vAlign w:val="center"/>
          </w:tcPr>
          <w:p w14:paraId="4EE741E0">
            <w:pPr>
              <w:spacing w:line="360" w:lineRule="auto"/>
              <w:jc w:val="center"/>
              <w:rPr>
                <w:rFonts w:hint="eastAsia" w:ascii="宋体" w:hAnsi="宋体" w:cs="宋体"/>
                <w:color w:val="auto"/>
                <w:szCs w:val="21"/>
                <w:highlight w:val="none"/>
              </w:rPr>
            </w:pPr>
          </w:p>
        </w:tc>
        <w:tc>
          <w:tcPr>
            <w:tcW w:w="2202" w:type="dxa"/>
            <w:noWrap w:val="0"/>
            <w:vAlign w:val="center"/>
          </w:tcPr>
          <w:p w14:paraId="2F6D0AF4">
            <w:pPr>
              <w:spacing w:line="360" w:lineRule="auto"/>
              <w:jc w:val="center"/>
              <w:rPr>
                <w:rFonts w:hint="eastAsia" w:ascii="宋体" w:hAnsi="宋体" w:cs="宋体"/>
                <w:color w:val="auto"/>
                <w:szCs w:val="21"/>
                <w:highlight w:val="none"/>
              </w:rPr>
            </w:pPr>
          </w:p>
        </w:tc>
      </w:tr>
      <w:tr w14:paraId="4BCA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02" w:type="dxa"/>
            <w:noWrap w:val="0"/>
            <w:vAlign w:val="center"/>
          </w:tcPr>
          <w:p w14:paraId="6404D74F">
            <w:pPr>
              <w:spacing w:line="360" w:lineRule="auto"/>
              <w:jc w:val="center"/>
              <w:rPr>
                <w:rFonts w:hint="eastAsia" w:ascii="宋体" w:hAnsi="宋体" w:cs="宋体"/>
                <w:color w:val="auto"/>
                <w:szCs w:val="21"/>
                <w:highlight w:val="none"/>
              </w:rPr>
            </w:pPr>
          </w:p>
        </w:tc>
        <w:tc>
          <w:tcPr>
            <w:tcW w:w="2230" w:type="dxa"/>
            <w:noWrap w:val="0"/>
            <w:vAlign w:val="center"/>
          </w:tcPr>
          <w:p w14:paraId="7D3DE352">
            <w:pPr>
              <w:spacing w:line="360" w:lineRule="auto"/>
              <w:jc w:val="center"/>
              <w:rPr>
                <w:rFonts w:hint="eastAsia" w:ascii="宋体" w:hAnsi="宋体" w:cs="宋体"/>
                <w:color w:val="auto"/>
                <w:szCs w:val="21"/>
                <w:highlight w:val="none"/>
              </w:rPr>
            </w:pPr>
          </w:p>
        </w:tc>
        <w:tc>
          <w:tcPr>
            <w:tcW w:w="2202" w:type="dxa"/>
            <w:noWrap w:val="0"/>
            <w:vAlign w:val="center"/>
          </w:tcPr>
          <w:p w14:paraId="1935F786">
            <w:pPr>
              <w:spacing w:line="360" w:lineRule="auto"/>
              <w:jc w:val="center"/>
              <w:rPr>
                <w:rFonts w:hint="eastAsia" w:ascii="宋体" w:hAnsi="宋体" w:cs="宋体"/>
                <w:color w:val="auto"/>
                <w:szCs w:val="21"/>
                <w:highlight w:val="none"/>
              </w:rPr>
            </w:pPr>
          </w:p>
        </w:tc>
        <w:tc>
          <w:tcPr>
            <w:tcW w:w="2202" w:type="dxa"/>
            <w:noWrap w:val="0"/>
            <w:vAlign w:val="center"/>
          </w:tcPr>
          <w:p w14:paraId="65B51A70">
            <w:pPr>
              <w:spacing w:line="360" w:lineRule="auto"/>
              <w:jc w:val="center"/>
              <w:rPr>
                <w:rFonts w:hint="eastAsia" w:ascii="宋体" w:hAnsi="宋体" w:cs="宋体"/>
                <w:color w:val="auto"/>
                <w:szCs w:val="21"/>
                <w:highlight w:val="none"/>
              </w:rPr>
            </w:pPr>
          </w:p>
        </w:tc>
      </w:tr>
      <w:tr w14:paraId="5B85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02" w:type="dxa"/>
            <w:noWrap w:val="0"/>
            <w:vAlign w:val="center"/>
          </w:tcPr>
          <w:p w14:paraId="23B6B743">
            <w:pPr>
              <w:spacing w:line="360" w:lineRule="auto"/>
              <w:jc w:val="center"/>
              <w:rPr>
                <w:rFonts w:hint="eastAsia" w:ascii="宋体" w:hAnsi="宋体" w:cs="宋体"/>
                <w:color w:val="auto"/>
                <w:szCs w:val="21"/>
                <w:highlight w:val="none"/>
              </w:rPr>
            </w:pPr>
          </w:p>
        </w:tc>
        <w:tc>
          <w:tcPr>
            <w:tcW w:w="2230" w:type="dxa"/>
            <w:noWrap w:val="0"/>
            <w:vAlign w:val="center"/>
          </w:tcPr>
          <w:p w14:paraId="5E6B6E5A">
            <w:pPr>
              <w:spacing w:line="360" w:lineRule="auto"/>
              <w:jc w:val="center"/>
              <w:rPr>
                <w:rFonts w:hint="eastAsia" w:ascii="宋体" w:hAnsi="宋体" w:cs="宋体"/>
                <w:color w:val="auto"/>
                <w:szCs w:val="21"/>
                <w:highlight w:val="none"/>
              </w:rPr>
            </w:pPr>
          </w:p>
        </w:tc>
        <w:tc>
          <w:tcPr>
            <w:tcW w:w="2202" w:type="dxa"/>
            <w:noWrap w:val="0"/>
            <w:vAlign w:val="center"/>
          </w:tcPr>
          <w:p w14:paraId="1AB14371">
            <w:pPr>
              <w:spacing w:line="360" w:lineRule="auto"/>
              <w:jc w:val="center"/>
              <w:rPr>
                <w:rFonts w:hint="eastAsia" w:ascii="宋体" w:hAnsi="宋体" w:cs="宋体"/>
                <w:color w:val="auto"/>
                <w:szCs w:val="21"/>
                <w:highlight w:val="none"/>
              </w:rPr>
            </w:pPr>
          </w:p>
        </w:tc>
        <w:tc>
          <w:tcPr>
            <w:tcW w:w="2202" w:type="dxa"/>
            <w:noWrap w:val="0"/>
            <w:vAlign w:val="center"/>
          </w:tcPr>
          <w:p w14:paraId="04B0FB0F">
            <w:pPr>
              <w:spacing w:line="360" w:lineRule="auto"/>
              <w:jc w:val="center"/>
              <w:rPr>
                <w:rFonts w:hint="eastAsia" w:ascii="宋体" w:hAnsi="宋体" w:cs="宋体"/>
                <w:color w:val="auto"/>
                <w:szCs w:val="21"/>
                <w:highlight w:val="none"/>
              </w:rPr>
            </w:pPr>
          </w:p>
        </w:tc>
      </w:tr>
      <w:tr w14:paraId="0766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02" w:type="dxa"/>
            <w:noWrap w:val="0"/>
            <w:vAlign w:val="center"/>
          </w:tcPr>
          <w:p w14:paraId="35E61D6D">
            <w:pPr>
              <w:spacing w:line="360" w:lineRule="auto"/>
              <w:jc w:val="center"/>
              <w:rPr>
                <w:rFonts w:hint="eastAsia" w:ascii="宋体" w:hAnsi="宋体" w:cs="宋体"/>
                <w:color w:val="auto"/>
                <w:szCs w:val="21"/>
                <w:highlight w:val="none"/>
              </w:rPr>
            </w:pPr>
          </w:p>
        </w:tc>
        <w:tc>
          <w:tcPr>
            <w:tcW w:w="2230" w:type="dxa"/>
            <w:noWrap w:val="0"/>
            <w:vAlign w:val="center"/>
          </w:tcPr>
          <w:p w14:paraId="6DD1CE40">
            <w:pPr>
              <w:spacing w:line="360" w:lineRule="auto"/>
              <w:jc w:val="center"/>
              <w:rPr>
                <w:rFonts w:hint="eastAsia" w:ascii="宋体" w:hAnsi="宋体" w:cs="宋体"/>
                <w:color w:val="auto"/>
                <w:szCs w:val="21"/>
                <w:highlight w:val="none"/>
              </w:rPr>
            </w:pPr>
          </w:p>
        </w:tc>
        <w:tc>
          <w:tcPr>
            <w:tcW w:w="2202" w:type="dxa"/>
            <w:noWrap w:val="0"/>
            <w:vAlign w:val="center"/>
          </w:tcPr>
          <w:p w14:paraId="6C9E78F0">
            <w:pPr>
              <w:spacing w:line="360" w:lineRule="auto"/>
              <w:jc w:val="center"/>
              <w:rPr>
                <w:rFonts w:hint="eastAsia" w:ascii="宋体" w:hAnsi="宋体" w:cs="宋体"/>
                <w:color w:val="auto"/>
                <w:szCs w:val="21"/>
                <w:highlight w:val="none"/>
              </w:rPr>
            </w:pPr>
          </w:p>
        </w:tc>
        <w:tc>
          <w:tcPr>
            <w:tcW w:w="2202" w:type="dxa"/>
            <w:noWrap w:val="0"/>
            <w:vAlign w:val="center"/>
          </w:tcPr>
          <w:p w14:paraId="4D967195">
            <w:pPr>
              <w:spacing w:line="360" w:lineRule="auto"/>
              <w:jc w:val="center"/>
              <w:rPr>
                <w:rFonts w:hint="eastAsia" w:ascii="宋体" w:hAnsi="宋体" w:cs="宋体"/>
                <w:color w:val="auto"/>
                <w:szCs w:val="21"/>
                <w:highlight w:val="none"/>
              </w:rPr>
            </w:pPr>
          </w:p>
        </w:tc>
      </w:tr>
      <w:tr w14:paraId="33D3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02" w:type="dxa"/>
            <w:noWrap w:val="0"/>
            <w:vAlign w:val="center"/>
          </w:tcPr>
          <w:p w14:paraId="4FA91EAE">
            <w:pPr>
              <w:spacing w:line="360" w:lineRule="auto"/>
              <w:jc w:val="center"/>
              <w:rPr>
                <w:rFonts w:hint="eastAsia" w:ascii="宋体" w:hAnsi="宋体" w:cs="宋体"/>
                <w:color w:val="auto"/>
                <w:szCs w:val="21"/>
                <w:highlight w:val="none"/>
              </w:rPr>
            </w:pPr>
          </w:p>
        </w:tc>
        <w:tc>
          <w:tcPr>
            <w:tcW w:w="2230" w:type="dxa"/>
            <w:noWrap w:val="0"/>
            <w:vAlign w:val="center"/>
          </w:tcPr>
          <w:p w14:paraId="2FA683F4">
            <w:pPr>
              <w:spacing w:line="360" w:lineRule="auto"/>
              <w:jc w:val="center"/>
              <w:rPr>
                <w:rFonts w:hint="eastAsia" w:ascii="宋体" w:hAnsi="宋体" w:cs="宋体"/>
                <w:color w:val="auto"/>
                <w:szCs w:val="21"/>
                <w:highlight w:val="none"/>
              </w:rPr>
            </w:pPr>
          </w:p>
        </w:tc>
        <w:tc>
          <w:tcPr>
            <w:tcW w:w="2202" w:type="dxa"/>
            <w:noWrap w:val="0"/>
            <w:vAlign w:val="center"/>
          </w:tcPr>
          <w:p w14:paraId="0EF4ED5D">
            <w:pPr>
              <w:spacing w:line="360" w:lineRule="auto"/>
              <w:jc w:val="center"/>
              <w:rPr>
                <w:rFonts w:hint="eastAsia" w:ascii="宋体" w:hAnsi="宋体" w:cs="宋体"/>
                <w:color w:val="auto"/>
                <w:szCs w:val="21"/>
                <w:highlight w:val="none"/>
              </w:rPr>
            </w:pPr>
          </w:p>
        </w:tc>
        <w:tc>
          <w:tcPr>
            <w:tcW w:w="2202" w:type="dxa"/>
            <w:noWrap w:val="0"/>
            <w:vAlign w:val="center"/>
          </w:tcPr>
          <w:p w14:paraId="1DAC5DCB">
            <w:pPr>
              <w:spacing w:line="360" w:lineRule="auto"/>
              <w:jc w:val="center"/>
              <w:rPr>
                <w:rFonts w:hint="eastAsia" w:ascii="宋体" w:hAnsi="宋体" w:cs="宋体"/>
                <w:color w:val="auto"/>
                <w:szCs w:val="21"/>
                <w:highlight w:val="none"/>
              </w:rPr>
            </w:pPr>
          </w:p>
        </w:tc>
      </w:tr>
      <w:tr w14:paraId="4498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02" w:type="dxa"/>
            <w:noWrap w:val="0"/>
            <w:vAlign w:val="center"/>
          </w:tcPr>
          <w:p w14:paraId="09C28392">
            <w:pPr>
              <w:spacing w:line="360" w:lineRule="auto"/>
              <w:jc w:val="center"/>
              <w:rPr>
                <w:rFonts w:hint="eastAsia" w:ascii="宋体" w:hAnsi="宋体" w:cs="宋体"/>
                <w:color w:val="auto"/>
                <w:szCs w:val="21"/>
                <w:highlight w:val="none"/>
              </w:rPr>
            </w:pPr>
          </w:p>
        </w:tc>
        <w:tc>
          <w:tcPr>
            <w:tcW w:w="2230" w:type="dxa"/>
            <w:noWrap w:val="0"/>
            <w:vAlign w:val="center"/>
          </w:tcPr>
          <w:p w14:paraId="2A210041">
            <w:pPr>
              <w:spacing w:line="360" w:lineRule="auto"/>
              <w:jc w:val="center"/>
              <w:rPr>
                <w:rFonts w:hint="eastAsia" w:ascii="宋体" w:hAnsi="宋体" w:cs="宋体"/>
                <w:color w:val="auto"/>
                <w:szCs w:val="21"/>
                <w:highlight w:val="none"/>
              </w:rPr>
            </w:pPr>
          </w:p>
        </w:tc>
        <w:tc>
          <w:tcPr>
            <w:tcW w:w="2202" w:type="dxa"/>
            <w:noWrap w:val="0"/>
            <w:vAlign w:val="center"/>
          </w:tcPr>
          <w:p w14:paraId="10DC0E96">
            <w:pPr>
              <w:spacing w:line="360" w:lineRule="auto"/>
              <w:jc w:val="center"/>
              <w:rPr>
                <w:rFonts w:hint="eastAsia" w:ascii="宋体" w:hAnsi="宋体" w:cs="宋体"/>
                <w:color w:val="auto"/>
                <w:szCs w:val="21"/>
                <w:highlight w:val="none"/>
              </w:rPr>
            </w:pPr>
          </w:p>
        </w:tc>
        <w:tc>
          <w:tcPr>
            <w:tcW w:w="2202" w:type="dxa"/>
            <w:noWrap w:val="0"/>
            <w:vAlign w:val="center"/>
          </w:tcPr>
          <w:p w14:paraId="3FE4D2C4">
            <w:pPr>
              <w:spacing w:line="360" w:lineRule="auto"/>
              <w:jc w:val="center"/>
              <w:rPr>
                <w:rFonts w:hint="eastAsia" w:ascii="宋体" w:hAnsi="宋体" w:cs="宋体"/>
                <w:color w:val="auto"/>
                <w:szCs w:val="21"/>
                <w:highlight w:val="none"/>
              </w:rPr>
            </w:pPr>
          </w:p>
        </w:tc>
      </w:tr>
      <w:tr w14:paraId="3FA2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02" w:type="dxa"/>
            <w:noWrap w:val="0"/>
            <w:vAlign w:val="center"/>
          </w:tcPr>
          <w:p w14:paraId="56BB41F1">
            <w:pPr>
              <w:spacing w:line="360" w:lineRule="auto"/>
              <w:jc w:val="center"/>
              <w:rPr>
                <w:rFonts w:hint="eastAsia" w:ascii="宋体" w:hAnsi="宋体" w:cs="宋体"/>
                <w:color w:val="auto"/>
                <w:szCs w:val="21"/>
                <w:highlight w:val="none"/>
              </w:rPr>
            </w:pPr>
          </w:p>
        </w:tc>
        <w:tc>
          <w:tcPr>
            <w:tcW w:w="2230" w:type="dxa"/>
            <w:noWrap w:val="0"/>
            <w:vAlign w:val="center"/>
          </w:tcPr>
          <w:p w14:paraId="562FCE58">
            <w:pPr>
              <w:spacing w:line="360" w:lineRule="auto"/>
              <w:jc w:val="center"/>
              <w:rPr>
                <w:rFonts w:hint="eastAsia" w:ascii="宋体" w:hAnsi="宋体" w:cs="宋体"/>
                <w:color w:val="auto"/>
                <w:szCs w:val="21"/>
                <w:highlight w:val="none"/>
              </w:rPr>
            </w:pPr>
          </w:p>
        </w:tc>
        <w:tc>
          <w:tcPr>
            <w:tcW w:w="2202" w:type="dxa"/>
            <w:noWrap w:val="0"/>
            <w:vAlign w:val="center"/>
          </w:tcPr>
          <w:p w14:paraId="65184DCE">
            <w:pPr>
              <w:spacing w:line="360" w:lineRule="auto"/>
              <w:jc w:val="center"/>
              <w:rPr>
                <w:rFonts w:hint="eastAsia" w:ascii="宋体" w:hAnsi="宋体" w:cs="宋体"/>
                <w:color w:val="auto"/>
                <w:szCs w:val="21"/>
                <w:highlight w:val="none"/>
              </w:rPr>
            </w:pPr>
          </w:p>
        </w:tc>
        <w:tc>
          <w:tcPr>
            <w:tcW w:w="2202" w:type="dxa"/>
            <w:noWrap w:val="0"/>
            <w:vAlign w:val="center"/>
          </w:tcPr>
          <w:p w14:paraId="7815C86C">
            <w:pPr>
              <w:spacing w:line="360" w:lineRule="auto"/>
              <w:jc w:val="center"/>
              <w:rPr>
                <w:rFonts w:hint="eastAsia" w:ascii="宋体" w:hAnsi="宋体" w:cs="宋体"/>
                <w:color w:val="auto"/>
                <w:szCs w:val="21"/>
                <w:highlight w:val="none"/>
              </w:rPr>
            </w:pPr>
          </w:p>
        </w:tc>
      </w:tr>
      <w:tr w14:paraId="4938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02" w:type="dxa"/>
            <w:noWrap w:val="0"/>
            <w:vAlign w:val="center"/>
          </w:tcPr>
          <w:p w14:paraId="52B31B80">
            <w:pPr>
              <w:spacing w:line="360" w:lineRule="auto"/>
              <w:jc w:val="center"/>
              <w:rPr>
                <w:rFonts w:hint="eastAsia" w:ascii="宋体" w:hAnsi="宋体" w:cs="宋体"/>
                <w:color w:val="auto"/>
                <w:szCs w:val="21"/>
                <w:highlight w:val="none"/>
              </w:rPr>
            </w:pPr>
          </w:p>
        </w:tc>
        <w:tc>
          <w:tcPr>
            <w:tcW w:w="2230" w:type="dxa"/>
            <w:noWrap w:val="0"/>
            <w:vAlign w:val="center"/>
          </w:tcPr>
          <w:p w14:paraId="7947F21E">
            <w:pPr>
              <w:spacing w:line="360" w:lineRule="auto"/>
              <w:jc w:val="center"/>
              <w:rPr>
                <w:rFonts w:hint="eastAsia" w:ascii="宋体" w:hAnsi="宋体" w:cs="宋体"/>
                <w:color w:val="auto"/>
                <w:szCs w:val="21"/>
                <w:highlight w:val="none"/>
              </w:rPr>
            </w:pPr>
          </w:p>
        </w:tc>
        <w:tc>
          <w:tcPr>
            <w:tcW w:w="2202" w:type="dxa"/>
            <w:noWrap w:val="0"/>
            <w:vAlign w:val="center"/>
          </w:tcPr>
          <w:p w14:paraId="0B17BBAE">
            <w:pPr>
              <w:spacing w:line="360" w:lineRule="auto"/>
              <w:jc w:val="center"/>
              <w:rPr>
                <w:rFonts w:hint="eastAsia" w:ascii="宋体" w:hAnsi="宋体" w:cs="宋体"/>
                <w:color w:val="auto"/>
                <w:szCs w:val="21"/>
                <w:highlight w:val="none"/>
              </w:rPr>
            </w:pPr>
          </w:p>
        </w:tc>
        <w:tc>
          <w:tcPr>
            <w:tcW w:w="2202" w:type="dxa"/>
            <w:noWrap w:val="0"/>
            <w:vAlign w:val="center"/>
          </w:tcPr>
          <w:p w14:paraId="1779ABF9">
            <w:pPr>
              <w:spacing w:line="360" w:lineRule="auto"/>
              <w:jc w:val="center"/>
              <w:rPr>
                <w:rFonts w:hint="eastAsia" w:ascii="宋体" w:hAnsi="宋体" w:cs="宋体"/>
                <w:color w:val="auto"/>
                <w:szCs w:val="21"/>
                <w:highlight w:val="none"/>
              </w:rPr>
            </w:pPr>
          </w:p>
        </w:tc>
      </w:tr>
      <w:tr w14:paraId="40F6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02" w:type="dxa"/>
            <w:noWrap w:val="0"/>
            <w:vAlign w:val="center"/>
          </w:tcPr>
          <w:p w14:paraId="7CC641FF">
            <w:pPr>
              <w:spacing w:line="360" w:lineRule="auto"/>
              <w:jc w:val="center"/>
              <w:rPr>
                <w:rFonts w:hint="eastAsia" w:ascii="宋体" w:hAnsi="宋体" w:cs="宋体"/>
                <w:color w:val="auto"/>
                <w:szCs w:val="21"/>
                <w:highlight w:val="none"/>
              </w:rPr>
            </w:pPr>
          </w:p>
        </w:tc>
        <w:tc>
          <w:tcPr>
            <w:tcW w:w="2230" w:type="dxa"/>
            <w:noWrap w:val="0"/>
            <w:vAlign w:val="center"/>
          </w:tcPr>
          <w:p w14:paraId="081C82EA">
            <w:pPr>
              <w:spacing w:line="360" w:lineRule="auto"/>
              <w:jc w:val="center"/>
              <w:rPr>
                <w:rFonts w:hint="eastAsia" w:ascii="宋体" w:hAnsi="宋体" w:cs="宋体"/>
                <w:color w:val="auto"/>
                <w:szCs w:val="21"/>
                <w:highlight w:val="none"/>
              </w:rPr>
            </w:pPr>
          </w:p>
        </w:tc>
        <w:tc>
          <w:tcPr>
            <w:tcW w:w="2202" w:type="dxa"/>
            <w:noWrap w:val="0"/>
            <w:vAlign w:val="center"/>
          </w:tcPr>
          <w:p w14:paraId="1E4A1022">
            <w:pPr>
              <w:spacing w:line="360" w:lineRule="auto"/>
              <w:jc w:val="center"/>
              <w:rPr>
                <w:rFonts w:hint="eastAsia" w:ascii="宋体" w:hAnsi="宋体" w:cs="宋体"/>
                <w:color w:val="auto"/>
                <w:szCs w:val="21"/>
                <w:highlight w:val="none"/>
              </w:rPr>
            </w:pPr>
          </w:p>
        </w:tc>
        <w:tc>
          <w:tcPr>
            <w:tcW w:w="2202" w:type="dxa"/>
            <w:noWrap w:val="0"/>
            <w:vAlign w:val="center"/>
          </w:tcPr>
          <w:p w14:paraId="53EA3C1E">
            <w:pPr>
              <w:spacing w:line="360" w:lineRule="auto"/>
              <w:jc w:val="center"/>
              <w:rPr>
                <w:rFonts w:hint="eastAsia" w:ascii="宋体" w:hAnsi="宋体" w:cs="宋体"/>
                <w:color w:val="auto"/>
                <w:szCs w:val="21"/>
                <w:highlight w:val="none"/>
              </w:rPr>
            </w:pPr>
          </w:p>
        </w:tc>
      </w:tr>
      <w:tr w14:paraId="3D98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02" w:type="dxa"/>
            <w:noWrap w:val="0"/>
            <w:vAlign w:val="center"/>
          </w:tcPr>
          <w:p w14:paraId="5AD18007">
            <w:pPr>
              <w:spacing w:line="360" w:lineRule="auto"/>
              <w:jc w:val="center"/>
              <w:rPr>
                <w:rFonts w:hint="eastAsia" w:ascii="宋体" w:hAnsi="宋体" w:cs="宋体"/>
                <w:color w:val="auto"/>
                <w:szCs w:val="21"/>
                <w:highlight w:val="none"/>
              </w:rPr>
            </w:pPr>
          </w:p>
        </w:tc>
        <w:tc>
          <w:tcPr>
            <w:tcW w:w="2230" w:type="dxa"/>
            <w:noWrap w:val="0"/>
            <w:vAlign w:val="center"/>
          </w:tcPr>
          <w:p w14:paraId="0E842942">
            <w:pPr>
              <w:spacing w:line="360" w:lineRule="auto"/>
              <w:jc w:val="center"/>
              <w:rPr>
                <w:rFonts w:hint="eastAsia" w:ascii="宋体" w:hAnsi="宋体" w:cs="宋体"/>
                <w:color w:val="auto"/>
                <w:szCs w:val="21"/>
                <w:highlight w:val="none"/>
              </w:rPr>
            </w:pPr>
          </w:p>
        </w:tc>
        <w:tc>
          <w:tcPr>
            <w:tcW w:w="2202" w:type="dxa"/>
            <w:noWrap w:val="0"/>
            <w:vAlign w:val="center"/>
          </w:tcPr>
          <w:p w14:paraId="00C76642">
            <w:pPr>
              <w:spacing w:line="360" w:lineRule="auto"/>
              <w:jc w:val="center"/>
              <w:rPr>
                <w:rFonts w:hint="eastAsia" w:ascii="宋体" w:hAnsi="宋体" w:cs="宋体"/>
                <w:color w:val="auto"/>
                <w:szCs w:val="21"/>
                <w:highlight w:val="none"/>
              </w:rPr>
            </w:pPr>
          </w:p>
        </w:tc>
        <w:tc>
          <w:tcPr>
            <w:tcW w:w="2202" w:type="dxa"/>
            <w:noWrap w:val="0"/>
            <w:vAlign w:val="center"/>
          </w:tcPr>
          <w:p w14:paraId="58334428">
            <w:pPr>
              <w:spacing w:line="360" w:lineRule="auto"/>
              <w:jc w:val="center"/>
              <w:rPr>
                <w:rFonts w:hint="eastAsia" w:ascii="宋体" w:hAnsi="宋体" w:cs="宋体"/>
                <w:color w:val="auto"/>
                <w:szCs w:val="21"/>
                <w:highlight w:val="none"/>
              </w:rPr>
            </w:pPr>
          </w:p>
        </w:tc>
      </w:tr>
      <w:tr w14:paraId="749B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02" w:type="dxa"/>
            <w:noWrap w:val="0"/>
            <w:vAlign w:val="center"/>
          </w:tcPr>
          <w:p w14:paraId="39323749">
            <w:pPr>
              <w:spacing w:line="360" w:lineRule="auto"/>
              <w:jc w:val="center"/>
              <w:rPr>
                <w:rFonts w:hint="eastAsia" w:ascii="宋体" w:hAnsi="宋体" w:cs="宋体"/>
                <w:color w:val="auto"/>
                <w:szCs w:val="21"/>
                <w:highlight w:val="none"/>
              </w:rPr>
            </w:pPr>
          </w:p>
        </w:tc>
        <w:tc>
          <w:tcPr>
            <w:tcW w:w="2230" w:type="dxa"/>
            <w:noWrap w:val="0"/>
            <w:vAlign w:val="center"/>
          </w:tcPr>
          <w:p w14:paraId="5043B17F">
            <w:pPr>
              <w:spacing w:line="360" w:lineRule="auto"/>
              <w:jc w:val="center"/>
              <w:rPr>
                <w:rFonts w:hint="eastAsia" w:ascii="宋体" w:hAnsi="宋体" w:cs="宋体"/>
                <w:color w:val="auto"/>
                <w:szCs w:val="21"/>
                <w:highlight w:val="none"/>
              </w:rPr>
            </w:pPr>
          </w:p>
        </w:tc>
        <w:tc>
          <w:tcPr>
            <w:tcW w:w="2202" w:type="dxa"/>
            <w:noWrap w:val="0"/>
            <w:vAlign w:val="center"/>
          </w:tcPr>
          <w:p w14:paraId="16650C1A">
            <w:pPr>
              <w:spacing w:line="360" w:lineRule="auto"/>
              <w:jc w:val="center"/>
              <w:rPr>
                <w:rFonts w:hint="eastAsia" w:ascii="宋体" w:hAnsi="宋体" w:cs="宋体"/>
                <w:color w:val="auto"/>
                <w:szCs w:val="21"/>
                <w:highlight w:val="none"/>
              </w:rPr>
            </w:pPr>
          </w:p>
        </w:tc>
        <w:tc>
          <w:tcPr>
            <w:tcW w:w="2202" w:type="dxa"/>
            <w:noWrap w:val="0"/>
            <w:vAlign w:val="center"/>
          </w:tcPr>
          <w:p w14:paraId="761019B2">
            <w:pPr>
              <w:spacing w:line="360" w:lineRule="auto"/>
              <w:jc w:val="center"/>
              <w:rPr>
                <w:rFonts w:hint="eastAsia" w:ascii="宋体" w:hAnsi="宋体" w:cs="宋体"/>
                <w:color w:val="auto"/>
                <w:szCs w:val="21"/>
                <w:highlight w:val="none"/>
              </w:rPr>
            </w:pPr>
          </w:p>
        </w:tc>
      </w:tr>
      <w:tr w14:paraId="2388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02" w:type="dxa"/>
            <w:noWrap w:val="0"/>
            <w:vAlign w:val="center"/>
          </w:tcPr>
          <w:p w14:paraId="304047F5">
            <w:pPr>
              <w:spacing w:line="360" w:lineRule="auto"/>
              <w:jc w:val="center"/>
              <w:rPr>
                <w:rFonts w:hint="eastAsia" w:ascii="宋体" w:hAnsi="宋体" w:cs="宋体"/>
                <w:color w:val="auto"/>
                <w:szCs w:val="21"/>
                <w:highlight w:val="none"/>
              </w:rPr>
            </w:pPr>
          </w:p>
        </w:tc>
        <w:tc>
          <w:tcPr>
            <w:tcW w:w="2230" w:type="dxa"/>
            <w:noWrap w:val="0"/>
            <w:vAlign w:val="center"/>
          </w:tcPr>
          <w:p w14:paraId="37ACC504">
            <w:pPr>
              <w:spacing w:line="360" w:lineRule="auto"/>
              <w:jc w:val="center"/>
              <w:rPr>
                <w:rFonts w:hint="eastAsia" w:ascii="宋体" w:hAnsi="宋体" w:cs="宋体"/>
                <w:color w:val="auto"/>
                <w:szCs w:val="21"/>
                <w:highlight w:val="none"/>
              </w:rPr>
            </w:pPr>
          </w:p>
        </w:tc>
        <w:tc>
          <w:tcPr>
            <w:tcW w:w="2202" w:type="dxa"/>
            <w:noWrap w:val="0"/>
            <w:vAlign w:val="center"/>
          </w:tcPr>
          <w:p w14:paraId="2CB9ED61">
            <w:pPr>
              <w:spacing w:line="360" w:lineRule="auto"/>
              <w:jc w:val="center"/>
              <w:rPr>
                <w:rFonts w:hint="eastAsia" w:ascii="宋体" w:hAnsi="宋体" w:cs="宋体"/>
                <w:color w:val="auto"/>
                <w:szCs w:val="21"/>
                <w:highlight w:val="none"/>
              </w:rPr>
            </w:pPr>
          </w:p>
        </w:tc>
        <w:tc>
          <w:tcPr>
            <w:tcW w:w="2202" w:type="dxa"/>
            <w:noWrap w:val="0"/>
            <w:vAlign w:val="center"/>
          </w:tcPr>
          <w:p w14:paraId="30E57BBC">
            <w:pPr>
              <w:spacing w:line="360" w:lineRule="auto"/>
              <w:jc w:val="center"/>
              <w:rPr>
                <w:rFonts w:hint="eastAsia" w:ascii="宋体" w:hAnsi="宋体" w:cs="宋体"/>
                <w:color w:val="auto"/>
                <w:szCs w:val="21"/>
                <w:highlight w:val="none"/>
              </w:rPr>
            </w:pPr>
          </w:p>
        </w:tc>
      </w:tr>
      <w:tr w14:paraId="7DAD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202" w:type="dxa"/>
            <w:noWrap w:val="0"/>
            <w:vAlign w:val="center"/>
          </w:tcPr>
          <w:p w14:paraId="0C20303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2230" w:type="dxa"/>
            <w:noWrap w:val="0"/>
            <w:vAlign w:val="center"/>
          </w:tcPr>
          <w:p w14:paraId="20442BAC">
            <w:pPr>
              <w:spacing w:line="360" w:lineRule="auto"/>
              <w:jc w:val="center"/>
              <w:rPr>
                <w:rFonts w:hint="eastAsia" w:ascii="宋体" w:hAnsi="宋体" w:cs="宋体"/>
                <w:color w:val="auto"/>
                <w:szCs w:val="21"/>
                <w:highlight w:val="none"/>
              </w:rPr>
            </w:pPr>
          </w:p>
        </w:tc>
        <w:tc>
          <w:tcPr>
            <w:tcW w:w="2202" w:type="dxa"/>
            <w:noWrap w:val="0"/>
            <w:vAlign w:val="center"/>
          </w:tcPr>
          <w:p w14:paraId="51118334">
            <w:pPr>
              <w:spacing w:line="360" w:lineRule="auto"/>
              <w:jc w:val="center"/>
              <w:rPr>
                <w:rFonts w:hint="eastAsia" w:ascii="宋体" w:hAnsi="宋体" w:cs="宋体"/>
                <w:color w:val="auto"/>
                <w:szCs w:val="21"/>
                <w:highlight w:val="none"/>
              </w:rPr>
            </w:pPr>
          </w:p>
        </w:tc>
        <w:tc>
          <w:tcPr>
            <w:tcW w:w="2202" w:type="dxa"/>
            <w:noWrap w:val="0"/>
            <w:vAlign w:val="center"/>
          </w:tcPr>
          <w:p w14:paraId="6B2E0108">
            <w:pPr>
              <w:spacing w:line="360" w:lineRule="auto"/>
              <w:jc w:val="center"/>
              <w:rPr>
                <w:rFonts w:hint="eastAsia" w:ascii="宋体" w:hAnsi="宋体" w:cs="宋体"/>
                <w:color w:val="auto"/>
                <w:szCs w:val="21"/>
                <w:highlight w:val="none"/>
              </w:rPr>
            </w:pPr>
          </w:p>
        </w:tc>
      </w:tr>
    </w:tbl>
    <w:p w14:paraId="536ECAD7">
      <w:pPr>
        <w:spacing w:line="360" w:lineRule="auto"/>
        <w:ind w:left="-3" w:firstLine="422"/>
        <w:rPr>
          <w:rFonts w:hint="eastAsia" w:ascii="宋体" w:hAnsi="宋体" w:cs="宋体"/>
          <w:color w:val="auto"/>
          <w:sz w:val="24"/>
          <w:highlight w:val="none"/>
        </w:rPr>
      </w:pPr>
    </w:p>
    <w:p w14:paraId="6EF649DD">
      <w:pPr>
        <w:spacing w:line="360" w:lineRule="auto"/>
        <w:ind w:left="-3" w:firstLine="422"/>
        <w:rPr>
          <w:rFonts w:hint="eastAsia" w:ascii="宋体" w:hAnsi="宋体" w:cs="宋体"/>
          <w:color w:val="auto"/>
          <w:highlight w:val="none"/>
        </w:rPr>
      </w:pPr>
      <w:r>
        <w:rPr>
          <w:rFonts w:hint="eastAsia" w:ascii="宋体" w:hAnsi="宋体" w:cs="宋体"/>
          <w:color w:val="auto"/>
          <w:highlight w:val="none"/>
        </w:rPr>
        <w:t>注：1.投标人应逐项填写本表，指出全部临时设施用地面积以及详细用途。</w:t>
      </w:r>
    </w:p>
    <w:p w14:paraId="437FD6C6">
      <w:pPr>
        <w:spacing w:line="360" w:lineRule="auto"/>
        <w:ind w:firstLine="840" w:firstLineChars="400"/>
        <w:jc w:val="left"/>
        <w:rPr>
          <w:rFonts w:hint="eastAsia"/>
          <w:color w:val="auto"/>
          <w:sz w:val="24"/>
          <w:highlight w:val="none"/>
        </w:rPr>
      </w:pPr>
      <w:r>
        <w:rPr>
          <w:rFonts w:hint="eastAsia" w:ascii="宋体" w:hAnsi="宋体" w:cs="宋体"/>
          <w:color w:val="auto"/>
          <w:highlight w:val="none"/>
          <w:lang w:val="en-US" w:eastAsia="zh-CN"/>
        </w:rPr>
        <w:t>2.</w:t>
      </w:r>
      <w:r>
        <w:rPr>
          <w:rFonts w:hint="eastAsia" w:ascii="宋体" w:hAnsi="宋体" w:cs="宋体"/>
          <w:color w:val="auto"/>
          <w:highlight w:val="none"/>
        </w:rPr>
        <w:t>若本表不够，可加</w:t>
      </w:r>
      <w:r>
        <w:rPr>
          <w:rFonts w:hint="eastAsia" w:ascii="宋体" w:hAnsi="宋体" w:cs="宋体"/>
          <w:color w:val="auto"/>
          <w:highlight w:val="none"/>
          <w:lang w:eastAsia="zh-CN"/>
        </w:rPr>
        <w:t>附页。</w:t>
      </w:r>
    </w:p>
    <w:p w14:paraId="2FC6069D">
      <w:pPr>
        <w:keepNext w:val="0"/>
        <w:keepLines w:val="0"/>
        <w:pageBreakBefore w:val="0"/>
        <w:kinsoku/>
        <w:wordWrap/>
        <w:overflowPunct/>
        <w:topLinePunct w:val="0"/>
        <w:autoSpaceDE/>
        <w:autoSpaceDN/>
        <w:bidi w:val="0"/>
        <w:spacing w:line="360" w:lineRule="auto"/>
        <w:jc w:val="right"/>
        <w:textAlignment w:val="auto"/>
        <w:rPr>
          <w:rFonts w:hint="eastAsia" w:ascii="宋体" w:hAnsi="宋体" w:eastAsia="宋体" w:cs="宋体"/>
          <w:sz w:val="24"/>
          <w:szCs w:val="24"/>
          <w:highlight w:val="none"/>
        </w:rPr>
      </w:pPr>
    </w:p>
    <w:sectPr>
      <w:pgSz w:w="11906" w:h="16838"/>
      <w:pgMar w:top="1304" w:right="1304" w:bottom="1304" w:left="130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F049D">
    <w:pPr>
      <w:pBdr>
        <w:top w:val="thinThickSmallGap" w:color="auto" w:sz="12" w:space="1"/>
      </w:pBdr>
      <w:tabs>
        <w:tab w:val="center" w:pos="4153"/>
        <w:tab w:val="right" w:pos="8306"/>
      </w:tabs>
      <w:snapToGrid w:val="0"/>
      <w:rPr>
        <w:rFonts w:ascii="宋体" w:hAnsi="宋体"/>
        <w:sz w:val="18"/>
        <w:szCs w:val="18"/>
      </w:rPr>
    </w:pPr>
  </w:p>
  <w:p w14:paraId="147BCF25">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B281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C3A8A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BC3A8A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4192A">
    <w:pPr>
      <w:pBdr>
        <w:top w:val="thinThickSmallGap" w:color="auto" w:sz="12" w:space="1"/>
      </w:pBdr>
      <w:tabs>
        <w:tab w:val="center" w:pos="4153"/>
        <w:tab w:val="right" w:pos="8306"/>
      </w:tabs>
      <w:snapToGrid w:val="0"/>
      <w:rPr>
        <w:rFonts w:ascii="宋体" w:hAnsi="宋体"/>
        <w:sz w:val="18"/>
        <w:szCs w:val="18"/>
      </w:rPr>
    </w:pPr>
  </w:p>
  <w:p w14:paraId="6227269E">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00B16">
    <w:pPr>
      <w:pStyle w:val="8"/>
      <w:pBdr>
        <w:bottom w:val="thickThinSmallGap" w:color="auto" w:sz="12" w:space="1"/>
      </w:pBdr>
      <w:jc w:val="left"/>
      <w:rPr>
        <w:rFonts w:hint="default"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2026年第二批次城市更新提优市政修复零星工程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39D75">
    <w:pPr>
      <w:pStyle w:val="8"/>
      <w:pBdr>
        <w:bottom w:val="thickThinSmallGap" w:color="auto" w:sz="12" w:space="1"/>
      </w:pBdr>
      <w:jc w:val="right"/>
      <w:rPr>
        <w:rFonts w:ascii="宋体" w:hAnsi="宋体"/>
      </w:rPr>
    </w:pPr>
    <w:r>
      <w:drawing>
        <wp:inline distT="0" distB="0" distL="114300" distR="114300">
          <wp:extent cx="2575560" cy="350520"/>
          <wp:effectExtent l="0" t="0" r="15240" b="12065"/>
          <wp:docPr id="4" name="图片 1" descr="说明: 标记+字体-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标记+字体-全"/>
                  <pic:cNvPicPr>
                    <a:picLocks noChangeAspect="1"/>
                  </pic:cNvPicPr>
                </pic:nvPicPr>
                <pic:blipFill>
                  <a:blip r:embed="rId1"/>
                  <a:stretch>
                    <a:fillRect/>
                  </a:stretch>
                </pic:blipFill>
                <pic:spPr>
                  <a:xfrm>
                    <a:off x="0" y="0"/>
                    <a:ext cx="2575560" cy="35052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FF972">
    <w:pPr>
      <w:pStyle w:val="8"/>
      <w:pBdr>
        <w:bottom w:val="thickThinSmallGap" w:color="auto" w:sz="12" w:space="1"/>
      </w:pBdr>
      <w:jc w:val="right"/>
      <w:rPr>
        <w:rFonts w:hint="default" w:ascii="楷体" w:hAnsi="楷体" w:eastAsia="楷体" w:cs="楷体"/>
        <w:sz w:val="22"/>
        <w:szCs w:val="22"/>
        <w:lang w:val="en-US" w:eastAsia="zh-CN"/>
      </w:rPr>
    </w:pPr>
    <w:r>
      <w:rPr>
        <w:rFonts w:hint="eastAsia" w:ascii="楷体" w:hAnsi="楷体" w:eastAsia="楷体" w:cs="楷体"/>
        <w:b w:val="0"/>
        <w:bCs w:val="0"/>
        <w:sz w:val="24"/>
        <w:szCs w:val="24"/>
        <w:lang w:val="en-US" w:eastAsia="zh-CN"/>
      </w:rPr>
      <w:t>2026年第二批次城市更新提优市政修复零星工程                           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9D45F">
    <w:pPr>
      <w:pStyle w:val="8"/>
      <w:pBdr>
        <w:bottom w:val="thickThinSmallGap" w:color="auto" w:sz="12" w:space="1"/>
      </w:pBdr>
      <w:jc w:val="right"/>
      <w:rPr>
        <w:rFonts w:ascii="宋体" w:hAnsi="宋体"/>
      </w:rPr>
    </w:pPr>
    <w:r>
      <w:drawing>
        <wp:inline distT="0" distB="0" distL="114300" distR="114300">
          <wp:extent cx="2575560" cy="350520"/>
          <wp:effectExtent l="0" t="0" r="5715" b="1905"/>
          <wp:docPr id="1" name="图片 1" descr="说明: 标记+字体-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标记+字体-全"/>
                  <pic:cNvPicPr>
                    <a:picLocks noChangeAspect="1"/>
                  </pic:cNvPicPr>
                </pic:nvPicPr>
                <pic:blipFill>
                  <a:blip r:embed="rId1"/>
                  <a:stretch>
                    <a:fillRect/>
                  </a:stretch>
                </pic:blipFill>
                <pic:spPr>
                  <a:xfrm>
                    <a:off x="0" y="0"/>
                    <a:ext cx="2575560" cy="3505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C8520B"/>
    <w:multiLevelType w:val="singleLevel"/>
    <w:tmpl w:val="55C8520B"/>
    <w:lvl w:ilvl="0" w:tentative="0">
      <w:start w:val="1"/>
      <w:numFmt w:val="decimal"/>
      <w:suff w:val="nothing"/>
      <w:lvlText w:val="%1．"/>
      <w:lvlJc w:val="left"/>
    </w:lvl>
  </w:abstractNum>
  <w:abstractNum w:abstractNumId="1">
    <w:nsid w:val="55CEEE96"/>
    <w:multiLevelType w:val="singleLevel"/>
    <w:tmpl w:val="55CEEE96"/>
    <w:lvl w:ilvl="0" w:tentative="0">
      <w:start w:val="7"/>
      <w:numFmt w:val="decimal"/>
      <w:suff w:val="nothing"/>
      <w:lvlText w:val="（%1）"/>
      <w:lvlJc w:val="left"/>
      <w:pPr>
        <w:ind w:left="0" w:firstLine="0"/>
      </w:pPr>
    </w:lvl>
  </w:abstractNum>
  <w:abstractNum w:abstractNumId="2">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2"/>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686C4595"/>
    <w:multiLevelType w:val="multilevel"/>
    <w:tmpl w:val="686C4595"/>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5E348B6"/>
    <w:multiLevelType w:val="multilevel"/>
    <w:tmpl w:val="75E348B6"/>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4"/>
  </w:num>
  <w:num w:numId="4">
    <w:abstractNumId w:val="0"/>
  </w:num>
  <w:num w:numId="5">
    <w:abstractNumId w:val="1"/>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B2170C"/>
    <w:rsid w:val="01B2170C"/>
    <w:rsid w:val="04B75C0B"/>
    <w:rsid w:val="07165926"/>
    <w:rsid w:val="095962AF"/>
    <w:rsid w:val="10C81A80"/>
    <w:rsid w:val="13B14F39"/>
    <w:rsid w:val="1B846FEB"/>
    <w:rsid w:val="1EE61652"/>
    <w:rsid w:val="281E2746"/>
    <w:rsid w:val="2EFB2B39"/>
    <w:rsid w:val="30220715"/>
    <w:rsid w:val="42724A79"/>
    <w:rsid w:val="443815DE"/>
    <w:rsid w:val="534A209F"/>
    <w:rsid w:val="53D95768"/>
    <w:rsid w:val="53ED1131"/>
    <w:rsid w:val="56287CCE"/>
    <w:rsid w:val="5B8F2A37"/>
    <w:rsid w:val="6A345F19"/>
    <w:rsid w:val="6AC04078"/>
    <w:rsid w:val="6C2430EF"/>
    <w:rsid w:val="6C586513"/>
    <w:rsid w:val="6E483BC2"/>
    <w:rsid w:val="6F280D81"/>
    <w:rsid w:val="720C7F43"/>
    <w:rsid w:val="78757AE0"/>
    <w:rsid w:val="793242EA"/>
    <w:rsid w:val="79A42538"/>
    <w:rsid w:val="7BCD518A"/>
    <w:rsid w:val="7C1845EB"/>
    <w:rsid w:val="7EB21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3"/>
    <w:qFormat/>
    <w:uiPriority w:val="0"/>
    <w:pPr>
      <w:keepNext/>
      <w:keepLines/>
      <w:widowControl/>
      <w:numPr>
        <w:ilvl w:val="2"/>
        <w:numId w:val="1"/>
      </w:numPr>
      <w:spacing w:before="120" w:after="120" w:line="360" w:lineRule="auto"/>
      <w:jc w:val="center"/>
      <w:outlineLvl w:val="2"/>
    </w:pPr>
    <w:rPr>
      <w:b/>
      <w:kern w:val="0"/>
      <w:sz w:val="32"/>
      <w:szCs w:val="20"/>
    </w:rPr>
  </w:style>
  <w:style w:type="paragraph" w:styleId="4">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uiPriority w:val="0"/>
    <w:pPr>
      <w:ind w:firstLine="420" w:firstLineChars="200"/>
    </w:pPr>
  </w:style>
  <w:style w:type="paragraph" w:styleId="5">
    <w:name w:val="annotation text"/>
    <w:basedOn w:val="1"/>
    <w:qFormat/>
    <w:uiPriority w:val="0"/>
    <w:pPr>
      <w:adjustRightInd w:val="0"/>
      <w:spacing w:line="360" w:lineRule="atLeast"/>
      <w:jc w:val="left"/>
      <w:textAlignment w:val="baseline"/>
    </w:pPr>
    <w:rPr>
      <w:kern w:val="0"/>
      <w:sz w:val="24"/>
      <w:szCs w:val="20"/>
    </w:rPr>
  </w:style>
  <w:style w:type="paragraph" w:styleId="6">
    <w:name w:val="Body Text"/>
    <w:basedOn w:val="1"/>
    <w:qFormat/>
    <w:uiPriority w:val="0"/>
    <w:pPr>
      <w:spacing w:line="0" w:lineRule="atLeast"/>
    </w:pPr>
    <w:rPr>
      <w:sz w:val="30"/>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99"/>
    <w:pPr>
      <w:widowControl/>
      <w:spacing w:before="100" w:beforeAutospacing="1" w:after="100" w:afterAutospacing="1"/>
      <w:jc w:val="left"/>
    </w:pPr>
    <w:rPr>
      <w:rFonts w:ascii="宋体" w:hAnsi="宋体" w:cs="宋体"/>
      <w:kern w:val="0"/>
      <w:sz w:val="24"/>
    </w:rPr>
  </w:style>
  <w:style w:type="paragraph" w:styleId="12">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22357</Words>
  <Characters>23587</Characters>
  <Lines>0</Lines>
  <Paragraphs>0</Paragraphs>
  <TotalTime>0</TotalTime>
  <ScaleCrop>false</ScaleCrop>
  <LinksUpToDate>false</LinksUpToDate>
  <CharactersWithSpaces>26948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2026-06-17T02:45:00Z</dcterms:created>
  <dc:creator>花超越</dc:creator>
  <cp:lastModifiedBy>TangJ</cp:lastModifiedBy>
  <dcterms:modified xsi:type="dcterms:W3CDTF">2026-07-24T01:12:09Z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FB24311400D248B88DAB94BCC29204B6_13</vt:lpwstr>
  </property>
  <property fmtid="{D5CDD505-2E9C-101B-9397-08002B2CF9AE}" pid="4" name="KSOTemplateDocerSaveRecord">
    <vt:lpwstr>eyJoZGlkIjoiODZkNGEyMzM4YTIwOTQ3ZGIyYWRmOWEwMTdjY2I3ZjAiLCJ1c2VySWQiOiI1MDY0NzcxOTYifQ==</vt:lpwstr>
  </property>
</Properties>
</file>