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CE09AE">
      <w:pPr>
        <w:spacing w:line="560" w:lineRule="exact"/>
        <w:jc w:val="center"/>
        <w:outlineLvl w:val="0"/>
        <w:rPr>
          <w:rFonts w:hint="eastAsia"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项目技术要求和有关说明</w:t>
      </w:r>
    </w:p>
    <w:p w14:paraId="18562B16">
      <w:pPr>
        <w:spacing w:line="560" w:lineRule="exact"/>
        <w:outlineLvl w:val="0"/>
        <w:rPr>
          <w:rFonts w:hint="eastAsia" w:ascii="仿宋" w:hAnsi="仿宋" w:eastAsia="仿宋" w:cs="仿宋"/>
          <w:bCs/>
          <w:color w:val="000000"/>
          <w:sz w:val="32"/>
          <w:szCs w:val="32"/>
        </w:rPr>
      </w:pPr>
      <w:r>
        <w:rPr>
          <w:rFonts w:hint="eastAsia" w:ascii="仿宋" w:hAnsi="仿宋" w:eastAsia="仿宋" w:cs="仿宋"/>
          <w:bCs/>
          <w:color w:val="000000"/>
          <w:sz w:val="32"/>
          <w:szCs w:val="32"/>
        </w:rPr>
        <w:t xml:space="preserve">    </w:t>
      </w:r>
    </w:p>
    <w:p w14:paraId="3CBF9A6C">
      <w:pPr>
        <w:spacing w:line="560" w:lineRule="exact"/>
        <w:ind w:firstLine="640" w:firstLineChars="200"/>
        <w:outlineLvl w:val="0"/>
        <w:rPr>
          <w:rFonts w:hint="eastAsia" w:ascii="黑体" w:hAnsi="黑体" w:eastAsia="黑体" w:cs="黑体"/>
          <w:bCs/>
          <w:color w:val="000000"/>
          <w:sz w:val="32"/>
          <w:szCs w:val="32"/>
        </w:rPr>
      </w:pPr>
      <w:r>
        <w:rPr>
          <w:rFonts w:hint="eastAsia" w:ascii="黑体" w:hAnsi="黑体" w:eastAsia="黑体" w:cs="黑体"/>
          <w:bCs/>
          <w:color w:val="000000"/>
          <w:sz w:val="32"/>
          <w:szCs w:val="32"/>
        </w:rPr>
        <w:t>一、项目范围</w:t>
      </w:r>
    </w:p>
    <w:p w14:paraId="1D93FA40">
      <w:pPr>
        <w:spacing w:line="560" w:lineRule="exact"/>
        <w:ind w:firstLine="640" w:firstLineChars="200"/>
        <w:outlineLvl w:val="0"/>
        <w:rPr>
          <w:rFonts w:hint="eastAsia" w:ascii="仿宋" w:hAnsi="仿宋" w:eastAsia="仿宋" w:cs="仿宋"/>
          <w:bCs/>
          <w:color w:val="000000"/>
          <w:sz w:val="32"/>
          <w:szCs w:val="32"/>
        </w:rPr>
      </w:pPr>
      <w:r>
        <w:rPr>
          <w:rFonts w:hint="eastAsia" w:ascii="仿宋" w:hAnsi="仿宋" w:eastAsia="仿宋" w:cs="仿宋"/>
          <w:bCs/>
          <w:color w:val="000000"/>
          <w:sz w:val="32"/>
          <w:szCs w:val="32"/>
        </w:rPr>
        <w:t>特种设备生产单位指导提升（总计50家）</w:t>
      </w:r>
    </w:p>
    <w:p w14:paraId="50F43AFF">
      <w:pPr>
        <w:spacing w:line="560" w:lineRule="exact"/>
        <w:outlineLvl w:val="0"/>
        <w:rPr>
          <w:rFonts w:hint="eastAsia" w:ascii="黑体" w:hAnsi="黑体" w:eastAsia="黑体" w:cs="黑体"/>
          <w:bCs/>
          <w:color w:val="000000"/>
          <w:sz w:val="32"/>
          <w:szCs w:val="32"/>
        </w:rPr>
      </w:pPr>
      <w:r>
        <w:rPr>
          <w:rFonts w:hint="eastAsia" w:ascii="仿宋" w:hAnsi="仿宋" w:eastAsia="仿宋" w:cs="仿宋"/>
          <w:bCs/>
          <w:color w:val="000000"/>
          <w:sz w:val="32"/>
          <w:szCs w:val="32"/>
        </w:rPr>
        <w:t xml:space="preserve">   </w:t>
      </w:r>
      <w:r>
        <w:rPr>
          <w:rFonts w:hint="eastAsia" w:ascii="黑体" w:hAnsi="黑体" w:eastAsia="黑体" w:cs="黑体"/>
          <w:bCs/>
          <w:color w:val="000000"/>
          <w:sz w:val="32"/>
          <w:szCs w:val="32"/>
        </w:rPr>
        <w:t xml:space="preserve"> 二、项目要求</w:t>
      </w:r>
    </w:p>
    <w:p w14:paraId="448828FF">
      <w:pPr>
        <w:spacing w:line="560" w:lineRule="exact"/>
        <w:ind w:firstLine="640" w:firstLineChars="200"/>
        <w:outlineLvl w:val="0"/>
        <w:rPr>
          <w:rFonts w:hint="eastAsia" w:ascii="仿宋" w:hAnsi="仿宋" w:eastAsia="仿宋" w:cs="仿宋"/>
          <w:bCs/>
          <w:color w:val="000000"/>
          <w:sz w:val="32"/>
          <w:szCs w:val="32"/>
        </w:rPr>
      </w:pPr>
      <w:r>
        <w:rPr>
          <w:rFonts w:hint="eastAsia" w:ascii="仿宋" w:hAnsi="仿宋" w:eastAsia="仿宋" w:cs="仿宋"/>
          <w:bCs/>
          <w:color w:val="000000"/>
          <w:sz w:val="32"/>
          <w:szCs w:val="32"/>
        </w:rPr>
        <w:t>对惠山区特种设备生产单位（包括电梯维保单位、起重机械维保单位）进行指导提升。按照关法律、法规和安全技术规范要求开展现场指导提升，将指导提升结果及问题整改情况及时报告惠山区市场监督管理局，并接受惠山区市场监督管理局监督。</w:t>
      </w:r>
    </w:p>
    <w:p w14:paraId="369988BE">
      <w:pPr>
        <w:pStyle w:val="20"/>
        <w:spacing w:line="560" w:lineRule="exact"/>
        <w:ind w:firstLine="640"/>
        <w:rPr>
          <w:rFonts w:hint="eastAsia" w:ascii="黑体" w:hAnsi="黑体" w:eastAsia="黑体" w:cs="黑体"/>
          <w:bCs/>
          <w:color w:val="000000"/>
          <w:sz w:val="32"/>
          <w:szCs w:val="32"/>
        </w:rPr>
      </w:pPr>
      <w:r>
        <w:rPr>
          <w:rFonts w:hint="eastAsia" w:ascii="黑体" w:hAnsi="黑体" w:eastAsia="黑体" w:cs="黑体"/>
          <w:bCs/>
          <w:color w:val="000000"/>
          <w:sz w:val="32"/>
          <w:szCs w:val="32"/>
        </w:rPr>
        <w:t>三、主要依据</w:t>
      </w:r>
    </w:p>
    <w:p w14:paraId="3B1FAD27">
      <w:pPr>
        <w:spacing w:line="560" w:lineRule="exact"/>
        <w:ind w:firstLine="640" w:firstLineChars="200"/>
        <w:outlineLvl w:val="0"/>
        <w:rPr>
          <w:rFonts w:hint="eastAsia" w:ascii="仿宋" w:hAnsi="仿宋" w:eastAsia="仿宋" w:cs="仿宋"/>
          <w:bCs/>
          <w:color w:val="000000"/>
          <w:sz w:val="32"/>
          <w:szCs w:val="32"/>
        </w:rPr>
      </w:pPr>
      <w:r>
        <w:rPr>
          <w:rFonts w:hint="eastAsia" w:ascii="仿宋" w:hAnsi="仿宋" w:eastAsia="仿宋" w:cs="仿宋"/>
          <w:bCs/>
          <w:color w:val="000000"/>
          <w:sz w:val="32"/>
          <w:szCs w:val="32"/>
        </w:rPr>
        <w:t>1.《中华人民共和国特种设备安全法》；</w:t>
      </w:r>
    </w:p>
    <w:p w14:paraId="494279A0">
      <w:pPr>
        <w:spacing w:line="560" w:lineRule="exact"/>
        <w:ind w:firstLine="640" w:firstLineChars="200"/>
        <w:outlineLvl w:val="0"/>
        <w:rPr>
          <w:rFonts w:hint="eastAsia" w:ascii="仿宋" w:hAnsi="仿宋" w:eastAsia="仿宋" w:cs="仿宋"/>
          <w:bCs/>
          <w:color w:val="000000"/>
          <w:sz w:val="32"/>
          <w:szCs w:val="32"/>
        </w:rPr>
      </w:pPr>
      <w:r>
        <w:rPr>
          <w:rFonts w:hint="eastAsia" w:ascii="仿宋" w:hAnsi="仿宋" w:eastAsia="仿宋" w:cs="仿宋"/>
          <w:bCs/>
          <w:color w:val="000000"/>
          <w:sz w:val="32"/>
          <w:szCs w:val="32"/>
        </w:rPr>
        <w:t>2.《特种设备安全监察条例》；</w:t>
      </w:r>
    </w:p>
    <w:p w14:paraId="1640BB68">
      <w:pPr>
        <w:spacing w:line="560" w:lineRule="exact"/>
        <w:ind w:firstLine="640" w:firstLineChars="200"/>
        <w:outlineLvl w:val="0"/>
        <w:rPr>
          <w:rFonts w:hint="eastAsia" w:ascii="仿宋" w:hAnsi="仿宋" w:eastAsia="仿宋" w:cs="仿宋"/>
          <w:bCs/>
          <w:color w:val="000000"/>
          <w:sz w:val="32"/>
          <w:szCs w:val="32"/>
        </w:rPr>
      </w:pPr>
      <w:r>
        <w:rPr>
          <w:rFonts w:hint="eastAsia" w:ascii="仿宋" w:hAnsi="仿宋" w:eastAsia="仿宋" w:cs="仿宋"/>
          <w:bCs/>
          <w:color w:val="000000"/>
          <w:sz w:val="32"/>
          <w:szCs w:val="32"/>
        </w:rPr>
        <w:t>3.《无锡市特种设备安全管理办法》；</w:t>
      </w:r>
    </w:p>
    <w:p w14:paraId="4C6234CF">
      <w:pPr>
        <w:spacing w:line="560" w:lineRule="exact"/>
        <w:ind w:firstLine="640" w:firstLineChars="200"/>
        <w:outlineLvl w:val="0"/>
        <w:rPr>
          <w:rFonts w:hint="eastAsia" w:ascii="仿宋" w:hAnsi="仿宋" w:eastAsia="仿宋" w:cs="仿宋"/>
          <w:bCs/>
          <w:color w:val="000000"/>
          <w:sz w:val="32"/>
          <w:szCs w:val="32"/>
        </w:rPr>
      </w:pPr>
      <w:r>
        <w:rPr>
          <w:rFonts w:hint="eastAsia" w:ascii="仿宋" w:hAnsi="仿宋" w:eastAsia="仿宋" w:cs="仿宋"/>
          <w:bCs/>
          <w:color w:val="000000"/>
          <w:sz w:val="32"/>
          <w:szCs w:val="32"/>
        </w:rPr>
        <w:t>4.《无锡市电梯安全管理条例》；</w:t>
      </w:r>
    </w:p>
    <w:p w14:paraId="6E90D398">
      <w:pPr>
        <w:spacing w:line="560" w:lineRule="exact"/>
        <w:ind w:firstLine="640" w:firstLineChars="200"/>
        <w:outlineLvl w:val="0"/>
        <w:rPr>
          <w:rFonts w:hint="eastAsia" w:ascii="仿宋" w:hAnsi="仿宋" w:eastAsia="仿宋" w:cs="仿宋"/>
          <w:bCs/>
          <w:color w:val="000000"/>
          <w:sz w:val="32"/>
          <w:szCs w:val="32"/>
        </w:rPr>
      </w:pPr>
      <w:r>
        <w:rPr>
          <w:rFonts w:hint="eastAsia" w:ascii="仿宋" w:hAnsi="仿宋" w:eastAsia="仿宋" w:cs="仿宋"/>
          <w:bCs/>
          <w:color w:val="000000"/>
          <w:sz w:val="32"/>
          <w:szCs w:val="32"/>
        </w:rPr>
        <w:t>5.《电梯维护保养规则》（TSG T5002-2017）；</w:t>
      </w:r>
    </w:p>
    <w:p w14:paraId="45126BB9">
      <w:pPr>
        <w:spacing w:line="560" w:lineRule="exact"/>
        <w:ind w:firstLine="640" w:firstLineChars="200"/>
        <w:outlineLvl w:val="0"/>
        <w:rPr>
          <w:rFonts w:hint="eastAsia" w:ascii="仿宋" w:hAnsi="仿宋" w:eastAsia="仿宋" w:cs="仿宋"/>
          <w:bCs/>
          <w:color w:val="000000"/>
          <w:sz w:val="32"/>
          <w:szCs w:val="32"/>
        </w:rPr>
      </w:pPr>
      <w:r>
        <w:rPr>
          <w:rFonts w:hint="eastAsia" w:ascii="仿宋" w:hAnsi="仿宋" w:eastAsia="仿宋" w:cs="仿宋"/>
          <w:bCs/>
          <w:color w:val="000000"/>
          <w:sz w:val="32"/>
          <w:szCs w:val="32"/>
        </w:rPr>
        <w:t>6.《特种设备使用管理规则》（TSG 08-2026）；</w:t>
      </w:r>
    </w:p>
    <w:p w14:paraId="6EBB7BA2">
      <w:pPr>
        <w:spacing w:line="560" w:lineRule="exact"/>
        <w:ind w:firstLine="640" w:firstLineChars="200"/>
        <w:outlineLvl w:val="0"/>
        <w:rPr>
          <w:rFonts w:hint="eastAsia" w:ascii="仿宋" w:hAnsi="仿宋" w:eastAsia="仿宋" w:cs="仿宋"/>
          <w:bCs/>
          <w:color w:val="000000"/>
          <w:sz w:val="32"/>
          <w:szCs w:val="32"/>
        </w:rPr>
      </w:pPr>
      <w:r>
        <w:rPr>
          <w:rFonts w:hint="eastAsia" w:ascii="仿宋" w:hAnsi="仿宋" w:eastAsia="仿宋" w:cs="仿宋"/>
          <w:bCs/>
          <w:color w:val="000000"/>
          <w:sz w:val="32"/>
          <w:szCs w:val="32"/>
        </w:rPr>
        <w:t>7.《特种设备生产和充装单位许可规则》（TSG 07-2019）；</w:t>
      </w:r>
    </w:p>
    <w:p w14:paraId="2982F77B">
      <w:pPr>
        <w:spacing w:line="560" w:lineRule="exact"/>
        <w:ind w:firstLine="640" w:firstLineChars="200"/>
        <w:outlineLvl w:val="0"/>
        <w:rPr>
          <w:rFonts w:hint="eastAsia" w:ascii="仿宋" w:hAnsi="仿宋" w:eastAsia="仿宋" w:cs="仿宋"/>
          <w:bCs/>
          <w:color w:val="000000"/>
          <w:sz w:val="32"/>
          <w:szCs w:val="32"/>
        </w:rPr>
      </w:pPr>
      <w:r>
        <w:rPr>
          <w:rFonts w:hint="eastAsia" w:ascii="仿宋" w:hAnsi="仿宋" w:eastAsia="仿宋" w:cs="仿宋"/>
          <w:bCs/>
          <w:color w:val="000000"/>
          <w:sz w:val="32"/>
          <w:szCs w:val="32"/>
        </w:rPr>
        <w:t>8.《起重机械安全技术规程》（TSG 51-2023）；</w:t>
      </w:r>
    </w:p>
    <w:p w14:paraId="205CE674">
      <w:pPr>
        <w:spacing w:line="560" w:lineRule="exact"/>
        <w:ind w:firstLine="640" w:firstLineChars="200"/>
        <w:outlineLvl w:val="0"/>
        <w:rPr>
          <w:rFonts w:hint="eastAsia" w:ascii="仿宋" w:hAnsi="仿宋" w:eastAsia="仿宋" w:cs="仿宋"/>
          <w:bCs/>
          <w:color w:val="000000"/>
          <w:sz w:val="32"/>
          <w:szCs w:val="32"/>
        </w:rPr>
      </w:pPr>
      <w:r>
        <w:rPr>
          <w:rFonts w:hint="eastAsia" w:ascii="仿宋" w:hAnsi="仿宋" w:eastAsia="仿宋" w:cs="仿宋"/>
          <w:bCs/>
          <w:color w:val="000000"/>
          <w:sz w:val="32"/>
          <w:szCs w:val="32"/>
        </w:rPr>
        <w:t>9.《特种设备检验机构核准规则》（TSG Z7001-2021）；</w:t>
      </w:r>
    </w:p>
    <w:p w14:paraId="2701AF88">
      <w:pPr>
        <w:spacing w:line="560" w:lineRule="exact"/>
        <w:ind w:firstLine="640" w:firstLineChars="200"/>
        <w:outlineLvl w:val="0"/>
        <w:rPr>
          <w:rFonts w:hint="eastAsia" w:ascii="仿宋" w:hAnsi="仿宋" w:eastAsia="仿宋" w:cs="仿宋"/>
          <w:bCs/>
          <w:color w:val="000000"/>
          <w:sz w:val="32"/>
          <w:szCs w:val="32"/>
        </w:rPr>
      </w:pPr>
      <w:r>
        <w:rPr>
          <w:rFonts w:hint="eastAsia" w:ascii="仿宋" w:hAnsi="仿宋" w:eastAsia="仿宋" w:cs="仿宋"/>
          <w:bCs/>
          <w:color w:val="000000"/>
          <w:sz w:val="32"/>
          <w:szCs w:val="32"/>
        </w:rPr>
        <w:t>10.《关于印发〈无锡市起重机械维护保养管理规定〉的通知》（锡特设专委发〔2024〕4号）。</w:t>
      </w:r>
    </w:p>
    <w:p w14:paraId="06B7C183">
      <w:pPr>
        <w:spacing w:line="560" w:lineRule="exact"/>
        <w:ind w:firstLine="640" w:firstLineChars="200"/>
        <w:outlineLvl w:val="0"/>
        <w:rPr>
          <w:rFonts w:hint="eastAsia" w:ascii="仿宋" w:hAnsi="仿宋" w:eastAsia="仿宋" w:cs="仿宋"/>
          <w:bCs/>
          <w:color w:val="000000"/>
          <w:sz w:val="32"/>
          <w:szCs w:val="32"/>
        </w:rPr>
      </w:pPr>
      <w:r>
        <w:rPr>
          <w:rFonts w:hint="eastAsia" w:ascii="仿宋" w:hAnsi="仿宋" w:eastAsia="仿宋" w:cs="仿宋"/>
          <w:bCs/>
          <w:color w:val="000000"/>
          <w:sz w:val="32"/>
          <w:szCs w:val="32"/>
        </w:rPr>
        <w:t>11、《起重机械维护保养管理通则》（DB3202/T 1051-2023）</w:t>
      </w:r>
    </w:p>
    <w:p w14:paraId="52876E8B">
      <w:pPr>
        <w:pStyle w:val="20"/>
        <w:spacing w:line="560" w:lineRule="exact"/>
        <w:ind w:firstLine="640"/>
        <w:rPr>
          <w:rFonts w:hint="eastAsia" w:ascii="黑体" w:hAnsi="黑体" w:eastAsia="黑体" w:cs="黑体"/>
          <w:bCs/>
          <w:color w:val="000000"/>
          <w:sz w:val="32"/>
          <w:szCs w:val="32"/>
        </w:rPr>
      </w:pPr>
      <w:r>
        <w:rPr>
          <w:rFonts w:hint="eastAsia" w:ascii="黑体" w:hAnsi="黑体" w:eastAsia="黑体" w:cs="黑体"/>
          <w:bCs/>
          <w:color w:val="000000"/>
          <w:sz w:val="32"/>
          <w:szCs w:val="32"/>
        </w:rPr>
        <w:t>四、主要内容</w:t>
      </w:r>
    </w:p>
    <w:p w14:paraId="30A8ADED">
      <w:pPr>
        <w:pStyle w:val="20"/>
        <w:spacing w:line="560" w:lineRule="exact"/>
        <w:ind w:firstLine="640"/>
        <w:rPr>
          <w:rFonts w:hint="eastAsia" w:ascii="楷体" w:hAnsi="楷体" w:eastAsia="楷体" w:cs="楷体"/>
          <w:bCs/>
          <w:color w:val="000000"/>
          <w:sz w:val="32"/>
          <w:szCs w:val="32"/>
        </w:rPr>
      </w:pPr>
      <w:r>
        <w:rPr>
          <w:rFonts w:hint="eastAsia" w:ascii="楷体" w:hAnsi="楷体" w:eastAsia="楷体" w:cs="楷体"/>
          <w:bCs/>
          <w:color w:val="000000"/>
          <w:sz w:val="32"/>
          <w:szCs w:val="32"/>
        </w:rPr>
        <w:t>（一）电梯维保单位</w:t>
      </w:r>
    </w:p>
    <w:tbl>
      <w:tblPr>
        <w:tblStyle w:val="15"/>
        <w:tblW w:w="96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801"/>
        <w:gridCol w:w="1290"/>
        <w:gridCol w:w="7583"/>
      </w:tblGrid>
      <w:tr w14:paraId="2AE5BB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tblHeader/>
          <w:jc w:val="center"/>
        </w:trPr>
        <w:tc>
          <w:tcPr>
            <w:tcW w:w="801" w:type="dxa"/>
            <w:vAlign w:val="center"/>
          </w:tcPr>
          <w:p w14:paraId="371DB231">
            <w:pPr>
              <w:pStyle w:val="35"/>
              <w:kinsoku w:val="0"/>
              <w:overflowPunct w:val="0"/>
              <w:jc w:val="center"/>
              <w:rPr>
                <w:rFonts w:hint="eastAsia" w:ascii="宋体" w:hAnsi="宋体" w:eastAsia="宋体" w:cs="宋体"/>
                <w:b/>
                <w:bCs/>
                <w:color w:val="auto"/>
                <w:szCs w:val="21"/>
              </w:rPr>
            </w:pPr>
            <w:r>
              <w:rPr>
                <w:rFonts w:hint="eastAsia" w:ascii="宋体" w:hAnsi="宋体" w:eastAsia="宋体" w:cs="宋体"/>
                <w:b/>
                <w:bCs/>
                <w:color w:val="auto"/>
                <w:szCs w:val="21"/>
              </w:rPr>
              <w:t>序号</w:t>
            </w:r>
          </w:p>
        </w:tc>
        <w:tc>
          <w:tcPr>
            <w:tcW w:w="1290" w:type="dxa"/>
            <w:vAlign w:val="center"/>
          </w:tcPr>
          <w:p w14:paraId="5225385C">
            <w:pPr>
              <w:pStyle w:val="35"/>
              <w:kinsoku w:val="0"/>
              <w:overflowPunct w:val="0"/>
              <w:jc w:val="center"/>
              <w:rPr>
                <w:rFonts w:hint="eastAsia" w:ascii="宋体" w:hAnsi="宋体" w:eastAsia="宋体" w:cs="宋体"/>
                <w:b/>
                <w:bCs/>
                <w:color w:val="auto"/>
                <w:szCs w:val="21"/>
              </w:rPr>
            </w:pPr>
            <w:r>
              <w:rPr>
                <w:rFonts w:hint="eastAsia" w:ascii="宋体" w:hAnsi="宋体" w:eastAsia="宋体" w:cs="宋体"/>
                <w:b/>
                <w:bCs/>
                <w:color w:val="auto"/>
                <w:szCs w:val="21"/>
              </w:rPr>
              <w:t>检查项目</w:t>
            </w:r>
          </w:p>
        </w:tc>
        <w:tc>
          <w:tcPr>
            <w:tcW w:w="7583" w:type="dxa"/>
            <w:vAlign w:val="center"/>
          </w:tcPr>
          <w:p w14:paraId="78F00466">
            <w:pPr>
              <w:pStyle w:val="35"/>
              <w:kinsoku w:val="0"/>
              <w:overflowPunct w:val="0"/>
              <w:jc w:val="center"/>
              <w:rPr>
                <w:rFonts w:hint="eastAsia" w:ascii="宋体" w:hAnsi="宋体" w:eastAsia="宋体" w:cs="宋体"/>
                <w:b/>
                <w:bCs/>
                <w:color w:val="auto"/>
                <w:szCs w:val="21"/>
              </w:rPr>
            </w:pPr>
            <w:r>
              <w:rPr>
                <w:rFonts w:hint="eastAsia" w:ascii="宋体" w:hAnsi="宋体" w:eastAsia="宋体" w:cs="宋体"/>
                <w:b/>
                <w:bCs/>
                <w:color w:val="auto"/>
                <w:szCs w:val="21"/>
              </w:rPr>
              <w:t>检查内容和要求</w:t>
            </w:r>
          </w:p>
        </w:tc>
      </w:tr>
      <w:tr w14:paraId="64DF08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01" w:type="dxa"/>
            <w:vAlign w:val="center"/>
          </w:tcPr>
          <w:p w14:paraId="702E8340">
            <w:pPr>
              <w:pStyle w:val="35"/>
              <w:kinsoku w:val="0"/>
              <w:overflowPunct w:val="0"/>
              <w:ind w:left="102"/>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1290" w:type="dxa"/>
            <w:vAlign w:val="center"/>
          </w:tcPr>
          <w:p w14:paraId="4A4CC224">
            <w:pPr>
              <w:pStyle w:val="35"/>
              <w:kinsoku w:val="0"/>
              <w:overflowPunct w:val="0"/>
              <w:ind w:left="102"/>
              <w:jc w:val="center"/>
              <w:rPr>
                <w:rFonts w:hint="eastAsia" w:ascii="宋体" w:hAnsi="宋体" w:eastAsia="宋体" w:cs="宋体"/>
                <w:color w:val="auto"/>
                <w:szCs w:val="21"/>
              </w:rPr>
            </w:pPr>
            <w:r>
              <w:rPr>
                <w:rFonts w:hint="eastAsia" w:ascii="宋体" w:hAnsi="宋体" w:eastAsia="宋体" w:cs="宋体"/>
                <w:color w:val="auto"/>
                <w:szCs w:val="21"/>
              </w:rPr>
              <w:t>许可资质与范围</w:t>
            </w:r>
          </w:p>
        </w:tc>
        <w:tc>
          <w:tcPr>
            <w:tcW w:w="7583" w:type="dxa"/>
            <w:vAlign w:val="center"/>
          </w:tcPr>
          <w:p w14:paraId="7DE005A8">
            <w:pPr>
              <w:rPr>
                <w:rFonts w:hint="eastAsia" w:ascii="宋体" w:hAnsi="宋体" w:eastAsia="宋体" w:cs="宋体"/>
                <w:color w:val="auto"/>
              </w:rPr>
            </w:pPr>
            <w:r>
              <w:rPr>
                <w:rFonts w:hint="eastAsia" w:ascii="宋体" w:hAnsi="宋体" w:eastAsia="宋体" w:cs="宋体"/>
                <w:color w:val="auto"/>
              </w:rPr>
              <w:t>1.营业执照主体与许可证载明的单位名称相符。</w:t>
            </w:r>
          </w:p>
          <w:p w14:paraId="08BA0BA8">
            <w:pPr>
              <w:rPr>
                <w:rFonts w:hint="eastAsia" w:ascii="宋体" w:hAnsi="宋体" w:eastAsia="宋体" w:cs="宋体"/>
                <w:color w:val="auto"/>
              </w:rPr>
            </w:pPr>
            <w:r>
              <w:rPr>
                <w:rFonts w:hint="eastAsia" w:ascii="宋体" w:hAnsi="宋体" w:eastAsia="宋体" w:cs="宋体"/>
                <w:color w:val="auto"/>
              </w:rPr>
              <w:t>2.持有有效的《中华人民共和国特种设备生产许可证》，许可项目、子项目、级别和参数覆盖实际从事的电梯修理及相应维护保养活动，不超许可范围开展业务。</w:t>
            </w:r>
          </w:p>
          <w:p w14:paraId="7DC0B4A5">
            <w:pPr>
              <w:rPr>
                <w:rFonts w:hint="eastAsia" w:ascii="宋体" w:hAnsi="宋体" w:eastAsia="宋体" w:cs="宋体"/>
                <w:color w:val="auto"/>
              </w:rPr>
            </w:pPr>
            <w:r>
              <w:rPr>
                <w:rFonts w:hint="eastAsia" w:ascii="宋体" w:hAnsi="宋体" w:eastAsia="宋体" w:cs="宋体"/>
                <w:color w:val="auto"/>
              </w:rPr>
              <w:t>依据：TSG 07—2019第1.4、1.5条，附件M M3.15。</w:t>
            </w:r>
          </w:p>
        </w:tc>
      </w:tr>
      <w:tr w14:paraId="646849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01" w:type="dxa"/>
            <w:vAlign w:val="center"/>
          </w:tcPr>
          <w:p w14:paraId="71CE4E5B">
            <w:pPr>
              <w:pStyle w:val="35"/>
              <w:kinsoku w:val="0"/>
              <w:overflowPunct w:val="0"/>
              <w:ind w:left="102"/>
              <w:jc w:val="center"/>
              <w:rPr>
                <w:rFonts w:hint="eastAsia" w:ascii="宋体" w:hAnsi="宋体" w:eastAsia="宋体" w:cs="宋体"/>
                <w:color w:val="auto"/>
                <w:szCs w:val="21"/>
              </w:rPr>
            </w:pPr>
            <w:r>
              <w:rPr>
                <w:rFonts w:hint="eastAsia" w:ascii="宋体" w:hAnsi="宋体" w:eastAsia="宋体" w:cs="宋体"/>
                <w:color w:val="auto"/>
                <w:szCs w:val="21"/>
              </w:rPr>
              <w:t>2</w:t>
            </w:r>
          </w:p>
        </w:tc>
        <w:tc>
          <w:tcPr>
            <w:tcW w:w="1290" w:type="dxa"/>
            <w:vAlign w:val="center"/>
          </w:tcPr>
          <w:p w14:paraId="5B52A8B1">
            <w:pPr>
              <w:pStyle w:val="35"/>
              <w:kinsoku w:val="0"/>
              <w:overflowPunct w:val="0"/>
              <w:ind w:left="102"/>
              <w:jc w:val="center"/>
              <w:rPr>
                <w:rFonts w:hint="eastAsia" w:ascii="宋体" w:hAnsi="宋体" w:eastAsia="宋体" w:cs="宋体"/>
                <w:color w:val="auto"/>
                <w:szCs w:val="21"/>
              </w:rPr>
            </w:pPr>
            <w:r>
              <w:rPr>
                <w:rFonts w:hint="eastAsia" w:ascii="宋体" w:hAnsi="宋体" w:eastAsia="宋体" w:cs="宋体"/>
                <w:color w:val="auto"/>
                <w:szCs w:val="21"/>
              </w:rPr>
              <w:t>工作场所</w:t>
            </w:r>
          </w:p>
        </w:tc>
        <w:tc>
          <w:tcPr>
            <w:tcW w:w="7583" w:type="dxa"/>
            <w:vAlign w:val="center"/>
          </w:tcPr>
          <w:p w14:paraId="541738EF">
            <w:pPr>
              <w:rPr>
                <w:rFonts w:hint="eastAsia" w:ascii="宋体" w:hAnsi="宋体" w:eastAsia="宋体" w:cs="宋体"/>
                <w:color w:val="auto"/>
              </w:rPr>
            </w:pPr>
            <w:r>
              <w:rPr>
                <w:rFonts w:hint="eastAsia" w:ascii="宋体" w:hAnsi="宋体" w:eastAsia="宋体" w:cs="宋体"/>
                <w:color w:val="auto"/>
              </w:rPr>
              <w:t>1.具有满足日常工作需要的固定办公场所，实际办公地址与许可信息相符。</w:t>
            </w:r>
          </w:p>
          <w:p w14:paraId="38C16194">
            <w:pPr>
              <w:rPr>
                <w:rFonts w:hint="eastAsia" w:ascii="宋体" w:hAnsi="宋体" w:eastAsia="宋体" w:cs="宋体"/>
                <w:color w:val="auto"/>
              </w:rPr>
            </w:pPr>
            <w:r>
              <w:rPr>
                <w:rFonts w:hint="eastAsia" w:ascii="宋体" w:hAnsi="宋体" w:eastAsia="宋体" w:cs="宋体"/>
                <w:color w:val="auto"/>
              </w:rPr>
              <w:t>2.办公场所承租的，租赁合同期限覆盖许可证有效期，并能提供出租方土地、房产权属证明或者其他有效证明。</w:t>
            </w:r>
          </w:p>
          <w:p w14:paraId="0D1E7482">
            <w:pPr>
              <w:rPr>
                <w:rFonts w:hint="eastAsia" w:ascii="宋体" w:hAnsi="宋体" w:eastAsia="宋体" w:cs="宋体"/>
                <w:color w:val="auto"/>
              </w:rPr>
            </w:pPr>
            <w:r>
              <w:rPr>
                <w:rFonts w:hint="eastAsia" w:ascii="宋体" w:hAnsi="宋体" w:eastAsia="宋体" w:cs="宋体"/>
                <w:color w:val="auto"/>
              </w:rPr>
              <w:t>依据：TSG 07—2019第2.2.2.1条、附件G G1.2。</w:t>
            </w:r>
          </w:p>
        </w:tc>
      </w:tr>
      <w:tr w14:paraId="4E389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4" w:hRule="atLeast"/>
          <w:jc w:val="center"/>
        </w:trPr>
        <w:tc>
          <w:tcPr>
            <w:tcW w:w="801" w:type="dxa"/>
            <w:vAlign w:val="center"/>
          </w:tcPr>
          <w:p w14:paraId="4170D494">
            <w:pPr>
              <w:pStyle w:val="35"/>
              <w:kinsoku w:val="0"/>
              <w:overflowPunct w:val="0"/>
              <w:ind w:left="102"/>
              <w:jc w:val="center"/>
              <w:rPr>
                <w:rFonts w:hint="eastAsia" w:ascii="宋体" w:hAnsi="宋体" w:eastAsia="宋体" w:cs="宋体"/>
                <w:color w:val="auto"/>
                <w:szCs w:val="21"/>
              </w:rPr>
            </w:pPr>
            <w:r>
              <w:rPr>
                <w:rFonts w:hint="eastAsia" w:ascii="宋体" w:hAnsi="宋体" w:eastAsia="宋体" w:cs="宋体"/>
                <w:color w:val="auto"/>
                <w:szCs w:val="21"/>
              </w:rPr>
              <w:t>3</w:t>
            </w:r>
          </w:p>
        </w:tc>
        <w:tc>
          <w:tcPr>
            <w:tcW w:w="1290" w:type="dxa"/>
            <w:vAlign w:val="center"/>
          </w:tcPr>
          <w:p w14:paraId="0FD5251A">
            <w:pPr>
              <w:pStyle w:val="35"/>
              <w:kinsoku w:val="0"/>
              <w:overflowPunct w:val="0"/>
              <w:ind w:left="102"/>
              <w:jc w:val="center"/>
              <w:rPr>
                <w:rFonts w:hint="eastAsia" w:ascii="宋体" w:hAnsi="宋体" w:eastAsia="宋体" w:cs="宋体"/>
                <w:color w:val="auto"/>
                <w:szCs w:val="21"/>
              </w:rPr>
            </w:pPr>
            <w:r>
              <w:rPr>
                <w:rFonts w:hint="eastAsia" w:ascii="宋体" w:hAnsi="宋体" w:eastAsia="宋体" w:cs="宋体"/>
                <w:color w:val="auto"/>
                <w:szCs w:val="21"/>
              </w:rPr>
              <w:t>人员资源</w:t>
            </w:r>
          </w:p>
        </w:tc>
        <w:tc>
          <w:tcPr>
            <w:tcW w:w="7583" w:type="dxa"/>
            <w:vAlign w:val="center"/>
          </w:tcPr>
          <w:p w14:paraId="36E7F25C">
            <w:pPr>
              <w:rPr>
                <w:rFonts w:hint="eastAsia" w:ascii="宋体" w:hAnsi="宋体" w:eastAsia="宋体" w:cs="宋体"/>
                <w:color w:val="auto"/>
              </w:rPr>
            </w:pPr>
            <w:r>
              <w:rPr>
                <w:rFonts w:hint="eastAsia" w:ascii="宋体" w:hAnsi="宋体" w:eastAsia="宋体" w:cs="宋体"/>
                <w:color w:val="auto"/>
              </w:rPr>
              <w:t>1.技术负责人、质量保证工程师、质量控制系统责任人员和项目负责人均有任命文件并实际履职。</w:t>
            </w:r>
          </w:p>
          <w:p w14:paraId="063C8AA3">
            <w:pPr>
              <w:rPr>
                <w:rFonts w:hint="eastAsia" w:ascii="宋体" w:hAnsi="宋体" w:eastAsia="宋体" w:cs="宋体"/>
                <w:color w:val="auto"/>
              </w:rPr>
            </w:pPr>
            <w:r>
              <w:rPr>
                <w:rFonts w:hint="eastAsia" w:ascii="宋体" w:hAnsi="宋体" w:eastAsia="宋体" w:cs="宋体"/>
                <w:color w:val="auto"/>
              </w:rPr>
              <w:t>2.技术人员、质量检验人员、电梯修理作业人员的数量、专业、职称或者学历、工作经历、资格及在岗情况满足相应许可级别要求，具体按附表1核查。</w:t>
            </w:r>
          </w:p>
          <w:p w14:paraId="7EFD15C2">
            <w:pPr>
              <w:rPr>
                <w:rFonts w:hint="eastAsia" w:ascii="宋体" w:hAnsi="宋体" w:eastAsia="宋体" w:cs="宋体"/>
                <w:color w:val="auto"/>
              </w:rPr>
            </w:pPr>
            <w:r>
              <w:rPr>
                <w:rFonts w:hint="eastAsia" w:ascii="宋体" w:hAnsi="宋体" w:eastAsia="宋体" w:cs="宋体"/>
                <w:color w:val="auto"/>
              </w:rPr>
              <w:t>依据：TSG 07—2019第2.2.1条、附件G G1.1和G3。</w:t>
            </w:r>
          </w:p>
        </w:tc>
      </w:tr>
      <w:tr w14:paraId="06AC48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2" w:hRule="atLeast"/>
          <w:jc w:val="center"/>
        </w:trPr>
        <w:tc>
          <w:tcPr>
            <w:tcW w:w="801" w:type="dxa"/>
            <w:vAlign w:val="center"/>
          </w:tcPr>
          <w:p w14:paraId="014D4A27">
            <w:pPr>
              <w:pStyle w:val="35"/>
              <w:kinsoku w:val="0"/>
              <w:overflowPunct w:val="0"/>
              <w:ind w:left="102"/>
              <w:jc w:val="center"/>
              <w:rPr>
                <w:rFonts w:hint="eastAsia" w:ascii="宋体" w:hAnsi="宋体" w:eastAsia="宋体" w:cs="宋体"/>
                <w:color w:val="auto"/>
                <w:szCs w:val="21"/>
              </w:rPr>
            </w:pPr>
            <w:r>
              <w:rPr>
                <w:rFonts w:hint="eastAsia" w:ascii="宋体" w:hAnsi="宋体" w:eastAsia="宋体" w:cs="宋体"/>
                <w:color w:val="auto"/>
                <w:szCs w:val="21"/>
              </w:rPr>
              <w:t>4</w:t>
            </w:r>
          </w:p>
        </w:tc>
        <w:tc>
          <w:tcPr>
            <w:tcW w:w="1290" w:type="dxa"/>
            <w:vAlign w:val="center"/>
          </w:tcPr>
          <w:p w14:paraId="6D5DEDE5">
            <w:pPr>
              <w:pStyle w:val="35"/>
              <w:kinsoku w:val="0"/>
              <w:overflowPunct w:val="0"/>
              <w:ind w:left="102"/>
              <w:jc w:val="center"/>
              <w:rPr>
                <w:rFonts w:hint="eastAsia" w:ascii="宋体" w:hAnsi="宋体" w:eastAsia="宋体" w:cs="宋体"/>
                <w:color w:val="auto"/>
                <w:szCs w:val="21"/>
              </w:rPr>
            </w:pPr>
            <w:r>
              <w:rPr>
                <w:rFonts w:hint="eastAsia" w:ascii="宋体" w:hAnsi="宋体" w:eastAsia="宋体" w:cs="宋体"/>
                <w:color w:val="auto"/>
                <w:szCs w:val="21"/>
              </w:rPr>
              <w:t>质量保证体系组织</w:t>
            </w:r>
          </w:p>
        </w:tc>
        <w:tc>
          <w:tcPr>
            <w:tcW w:w="7583" w:type="dxa"/>
            <w:vAlign w:val="center"/>
          </w:tcPr>
          <w:p w14:paraId="6B4477D6">
            <w:pPr>
              <w:rPr>
                <w:rFonts w:hint="eastAsia" w:ascii="宋体" w:hAnsi="宋体" w:eastAsia="宋体" w:cs="宋体"/>
                <w:color w:val="auto"/>
              </w:rPr>
            </w:pPr>
            <w:r>
              <w:rPr>
                <w:rFonts w:hint="eastAsia" w:ascii="宋体" w:hAnsi="宋体" w:eastAsia="宋体" w:cs="宋体"/>
                <w:color w:val="auto"/>
              </w:rPr>
              <w:t>1.建立与许可范围相适应的质量保证体系组织，主要负责人、质量保证工程师及各质量控制系统责任人员的职责、权限和相互关系明确。</w:t>
            </w:r>
          </w:p>
          <w:p w14:paraId="0F640185">
            <w:pPr>
              <w:rPr>
                <w:rFonts w:hint="eastAsia" w:ascii="宋体" w:hAnsi="宋体" w:eastAsia="宋体" w:cs="宋体"/>
                <w:color w:val="auto"/>
              </w:rPr>
            </w:pPr>
            <w:r>
              <w:rPr>
                <w:rFonts w:hint="eastAsia" w:ascii="宋体" w:hAnsi="宋体" w:eastAsia="宋体" w:cs="宋体"/>
                <w:color w:val="auto"/>
              </w:rPr>
              <w:t>2.质量保证工程师为管理层成员，不兼任质量控制系统责任人员；质量控制系统责任人员最多兼任两个不相关的质量控制系统。</w:t>
            </w:r>
          </w:p>
          <w:p w14:paraId="266ECF6A">
            <w:pPr>
              <w:rPr>
                <w:rFonts w:hint="eastAsia" w:ascii="宋体" w:hAnsi="宋体" w:eastAsia="宋体" w:cs="宋体"/>
                <w:color w:val="auto"/>
              </w:rPr>
            </w:pPr>
            <w:r>
              <w:rPr>
                <w:rFonts w:hint="eastAsia" w:ascii="宋体" w:hAnsi="宋体" w:eastAsia="宋体" w:cs="宋体"/>
                <w:color w:val="auto"/>
              </w:rPr>
              <w:t>3.工艺、焊接、检验与试验、现场施工等质量控制系统覆盖电梯修理和维护保养过程并有效运行。</w:t>
            </w:r>
          </w:p>
          <w:p w14:paraId="477C4D3F">
            <w:pPr>
              <w:rPr>
                <w:rFonts w:hint="eastAsia" w:ascii="宋体" w:hAnsi="宋体" w:eastAsia="宋体" w:cs="宋体"/>
                <w:color w:val="auto"/>
              </w:rPr>
            </w:pPr>
            <w:r>
              <w:rPr>
                <w:rFonts w:hint="eastAsia" w:ascii="宋体" w:hAnsi="宋体" w:eastAsia="宋体" w:cs="宋体"/>
                <w:color w:val="auto"/>
              </w:rPr>
              <w:t>依据：TSG 07—2019附件M M1.2。</w:t>
            </w:r>
          </w:p>
        </w:tc>
      </w:tr>
      <w:tr w14:paraId="77072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01" w:type="dxa"/>
            <w:vAlign w:val="center"/>
          </w:tcPr>
          <w:p w14:paraId="7C200CC2">
            <w:pPr>
              <w:pStyle w:val="35"/>
              <w:kinsoku w:val="0"/>
              <w:overflowPunct w:val="0"/>
              <w:ind w:left="102"/>
              <w:jc w:val="center"/>
              <w:rPr>
                <w:rFonts w:hint="eastAsia" w:ascii="宋体" w:hAnsi="宋体" w:eastAsia="宋体" w:cs="宋体"/>
                <w:color w:val="auto"/>
                <w:szCs w:val="21"/>
              </w:rPr>
            </w:pPr>
            <w:r>
              <w:rPr>
                <w:rFonts w:hint="eastAsia" w:ascii="宋体" w:hAnsi="宋体" w:eastAsia="宋体" w:cs="宋体"/>
                <w:color w:val="auto"/>
                <w:szCs w:val="21"/>
              </w:rPr>
              <w:t>5</w:t>
            </w:r>
          </w:p>
        </w:tc>
        <w:tc>
          <w:tcPr>
            <w:tcW w:w="1290" w:type="dxa"/>
            <w:vAlign w:val="center"/>
          </w:tcPr>
          <w:p w14:paraId="1A727F73">
            <w:pPr>
              <w:pStyle w:val="35"/>
              <w:kinsoku w:val="0"/>
              <w:overflowPunct w:val="0"/>
              <w:ind w:left="102"/>
              <w:jc w:val="center"/>
              <w:rPr>
                <w:rFonts w:hint="eastAsia" w:ascii="宋体" w:hAnsi="宋体" w:eastAsia="宋体" w:cs="宋体"/>
                <w:color w:val="auto"/>
                <w:szCs w:val="21"/>
              </w:rPr>
            </w:pPr>
            <w:r>
              <w:rPr>
                <w:rFonts w:hint="eastAsia" w:ascii="宋体" w:hAnsi="宋体" w:eastAsia="宋体" w:cs="宋体"/>
                <w:color w:val="auto"/>
                <w:szCs w:val="21"/>
              </w:rPr>
              <w:t>质量安全主体责任</w:t>
            </w:r>
          </w:p>
        </w:tc>
        <w:tc>
          <w:tcPr>
            <w:tcW w:w="7583" w:type="dxa"/>
            <w:vAlign w:val="center"/>
          </w:tcPr>
          <w:p w14:paraId="0C8A800C">
            <w:pPr>
              <w:rPr>
                <w:rFonts w:hint="eastAsia" w:ascii="宋体" w:hAnsi="宋体" w:eastAsia="宋体" w:cs="宋体"/>
                <w:color w:val="auto"/>
              </w:rPr>
            </w:pPr>
            <w:r>
              <w:rPr>
                <w:rFonts w:hint="eastAsia" w:ascii="宋体" w:hAnsi="宋体" w:eastAsia="宋体" w:cs="宋体"/>
                <w:color w:val="auto"/>
              </w:rPr>
              <w:t>1.主要负责人履行特种设备质量安全第一责任人职责。</w:t>
            </w:r>
          </w:p>
          <w:p w14:paraId="2C4D293B">
            <w:pPr>
              <w:rPr>
                <w:rFonts w:hint="eastAsia" w:ascii="宋体" w:hAnsi="宋体" w:eastAsia="宋体" w:cs="宋体"/>
                <w:color w:val="auto"/>
              </w:rPr>
            </w:pPr>
            <w:r>
              <w:rPr>
                <w:rFonts w:hint="eastAsia" w:ascii="宋体" w:hAnsi="宋体" w:eastAsia="宋体" w:cs="宋体"/>
                <w:color w:val="auto"/>
              </w:rPr>
              <w:t>2.按规定设置质量安全总监、质量安全员，具有任命文件、岗位职责和履职记录；可按规则由质量保证工程师、相关质量控制系统责任人员兼任。</w:t>
            </w:r>
          </w:p>
          <w:p w14:paraId="2C449005">
            <w:pPr>
              <w:rPr>
                <w:rFonts w:hint="eastAsia" w:ascii="宋体" w:hAnsi="宋体" w:eastAsia="宋体" w:cs="宋体"/>
                <w:color w:val="auto"/>
              </w:rPr>
            </w:pPr>
            <w:r>
              <w:rPr>
                <w:rFonts w:hint="eastAsia" w:ascii="宋体" w:hAnsi="宋体" w:eastAsia="宋体" w:cs="宋体"/>
                <w:color w:val="auto"/>
              </w:rPr>
              <w:t>3.建立并有效实施《质量安全风险管控清单》及日管控、周排查、月调度机制，保存检查、排查、调度、整改闭环和人员培训考核记录。</w:t>
            </w:r>
          </w:p>
          <w:p w14:paraId="35902C7B">
            <w:pPr>
              <w:rPr>
                <w:rFonts w:hint="eastAsia" w:ascii="宋体" w:hAnsi="宋体" w:eastAsia="宋体" w:cs="宋体"/>
                <w:color w:val="auto"/>
              </w:rPr>
            </w:pPr>
            <w:r>
              <w:rPr>
                <w:rFonts w:hint="eastAsia" w:ascii="宋体" w:hAnsi="宋体" w:eastAsia="宋体" w:cs="宋体"/>
                <w:color w:val="auto"/>
              </w:rPr>
              <w:t>依据：TSG 07—2019第2.1.2条及第2号修改单、附件M M1.1和M1.2.3。</w:t>
            </w:r>
          </w:p>
        </w:tc>
      </w:tr>
      <w:tr w14:paraId="62D4AF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01" w:type="dxa"/>
            <w:vAlign w:val="center"/>
          </w:tcPr>
          <w:p w14:paraId="4A72C73C">
            <w:pPr>
              <w:pStyle w:val="35"/>
              <w:kinsoku w:val="0"/>
              <w:overflowPunct w:val="0"/>
              <w:ind w:left="102"/>
              <w:jc w:val="center"/>
              <w:rPr>
                <w:rFonts w:hint="eastAsia" w:ascii="宋体" w:hAnsi="宋体" w:eastAsia="宋体" w:cs="宋体"/>
                <w:color w:val="auto"/>
                <w:szCs w:val="21"/>
              </w:rPr>
            </w:pPr>
            <w:r>
              <w:rPr>
                <w:rFonts w:hint="eastAsia" w:ascii="宋体" w:hAnsi="宋体" w:eastAsia="宋体" w:cs="宋体"/>
                <w:color w:val="auto"/>
                <w:szCs w:val="21"/>
              </w:rPr>
              <w:t>6</w:t>
            </w:r>
          </w:p>
        </w:tc>
        <w:tc>
          <w:tcPr>
            <w:tcW w:w="1290" w:type="dxa"/>
            <w:vAlign w:val="center"/>
          </w:tcPr>
          <w:p w14:paraId="6930A4A4">
            <w:pPr>
              <w:pStyle w:val="35"/>
              <w:kinsoku w:val="0"/>
              <w:overflowPunct w:val="0"/>
              <w:ind w:left="102"/>
              <w:jc w:val="center"/>
              <w:rPr>
                <w:rFonts w:hint="eastAsia" w:ascii="宋体" w:hAnsi="宋体" w:eastAsia="宋体" w:cs="宋体"/>
                <w:color w:val="auto"/>
                <w:szCs w:val="21"/>
              </w:rPr>
            </w:pPr>
            <w:r>
              <w:rPr>
                <w:rFonts w:hint="eastAsia" w:ascii="宋体" w:hAnsi="宋体" w:eastAsia="宋体" w:cs="宋体"/>
                <w:color w:val="auto"/>
                <w:szCs w:val="21"/>
              </w:rPr>
              <w:t>质量保证体系文件</w:t>
            </w:r>
          </w:p>
        </w:tc>
        <w:tc>
          <w:tcPr>
            <w:tcW w:w="7583" w:type="dxa"/>
            <w:vAlign w:val="center"/>
          </w:tcPr>
          <w:p w14:paraId="29F1DF2B">
            <w:pPr>
              <w:rPr>
                <w:rFonts w:hint="eastAsia" w:ascii="宋体" w:hAnsi="宋体" w:eastAsia="宋体" w:cs="宋体"/>
                <w:color w:val="auto"/>
              </w:rPr>
            </w:pPr>
            <w:r>
              <w:rPr>
                <w:rFonts w:hint="eastAsia" w:ascii="宋体" w:hAnsi="宋体" w:eastAsia="宋体" w:cs="宋体"/>
                <w:color w:val="auto"/>
              </w:rPr>
              <w:t>1.质量保证手册、程序文件、作业指导书、记录表卡和质量计划系统、齐全，与许可范围和单位实际相适应。</w:t>
            </w:r>
          </w:p>
          <w:p w14:paraId="0716D07B">
            <w:pPr>
              <w:rPr>
                <w:rFonts w:hint="eastAsia" w:ascii="宋体" w:hAnsi="宋体" w:eastAsia="宋体" w:cs="宋体"/>
                <w:color w:val="auto"/>
              </w:rPr>
            </w:pPr>
            <w:r>
              <w:rPr>
                <w:rFonts w:hint="eastAsia" w:ascii="宋体" w:hAnsi="宋体" w:eastAsia="宋体" w:cs="宋体"/>
                <w:color w:val="auto"/>
              </w:rPr>
              <w:t>2.文件明确质量方针、量化质量目标、组织职责和各控制要素要求，履行编制、审核、批准和修订程序。</w:t>
            </w:r>
          </w:p>
          <w:p w14:paraId="0A2905EB">
            <w:pPr>
              <w:rPr>
                <w:rFonts w:hint="eastAsia" w:ascii="宋体" w:hAnsi="宋体" w:eastAsia="宋体" w:cs="宋体"/>
                <w:color w:val="auto"/>
              </w:rPr>
            </w:pPr>
            <w:r>
              <w:rPr>
                <w:rFonts w:hint="eastAsia" w:ascii="宋体" w:hAnsi="宋体" w:eastAsia="宋体" w:cs="宋体"/>
                <w:color w:val="auto"/>
              </w:rPr>
              <w:t>依据：TSG 07—2019附件M M1.1、M2。</w:t>
            </w:r>
          </w:p>
        </w:tc>
      </w:tr>
      <w:tr w14:paraId="63F2FE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01" w:type="dxa"/>
            <w:vAlign w:val="center"/>
          </w:tcPr>
          <w:p w14:paraId="5A245798">
            <w:pPr>
              <w:pStyle w:val="35"/>
              <w:kinsoku w:val="0"/>
              <w:overflowPunct w:val="0"/>
              <w:ind w:left="102"/>
              <w:jc w:val="center"/>
              <w:rPr>
                <w:rFonts w:hint="eastAsia" w:ascii="宋体" w:hAnsi="宋体" w:eastAsia="宋体" w:cs="宋体"/>
                <w:color w:val="auto"/>
                <w:szCs w:val="21"/>
              </w:rPr>
            </w:pPr>
            <w:r>
              <w:rPr>
                <w:rFonts w:hint="eastAsia" w:ascii="宋体" w:hAnsi="宋体" w:eastAsia="宋体" w:cs="宋体"/>
                <w:color w:val="auto"/>
                <w:szCs w:val="21"/>
              </w:rPr>
              <w:t>7</w:t>
            </w:r>
          </w:p>
        </w:tc>
        <w:tc>
          <w:tcPr>
            <w:tcW w:w="1290" w:type="dxa"/>
            <w:vAlign w:val="center"/>
          </w:tcPr>
          <w:p w14:paraId="14687A54">
            <w:pPr>
              <w:pStyle w:val="35"/>
              <w:kinsoku w:val="0"/>
              <w:overflowPunct w:val="0"/>
              <w:ind w:left="102"/>
              <w:jc w:val="center"/>
              <w:rPr>
                <w:rFonts w:hint="eastAsia" w:ascii="宋体" w:hAnsi="宋体" w:eastAsia="宋体" w:cs="宋体"/>
                <w:color w:val="auto"/>
                <w:szCs w:val="21"/>
              </w:rPr>
            </w:pPr>
            <w:r>
              <w:rPr>
                <w:rFonts w:hint="eastAsia" w:ascii="宋体" w:hAnsi="宋体" w:eastAsia="宋体" w:cs="宋体"/>
                <w:color w:val="auto"/>
                <w:szCs w:val="21"/>
              </w:rPr>
              <w:t>法规标准与技术资料</w:t>
            </w:r>
          </w:p>
        </w:tc>
        <w:tc>
          <w:tcPr>
            <w:tcW w:w="7583" w:type="dxa"/>
            <w:vAlign w:val="center"/>
          </w:tcPr>
          <w:p w14:paraId="10A986FF">
            <w:pPr>
              <w:rPr>
                <w:rFonts w:hint="eastAsia" w:ascii="宋体" w:hAnsi="宋体" w:eastAsia="宋体" w:cs="宋体"/>
                <w:color w:val="auto"/>
              </w:rPr>
            </w:pPr>
            <w:r>
              <w:rPr>
                <w:rFonts w:hint="eastAsia" w:ascii="宋体" w:hAnsi="宋体" w:eastAsia="宋体" w:cs="宋体"/>
                <w:color w:val="auto"/>
              </w:rPr>
              <w:t>1.配备与许可范围相适应的现行法律、法规、规章、安全技术规范及相关标准，并纳入外来文件控制，使用合法出版的有效版本。</w:t>
            </w:r>
          </w:p>
          <w:p w14:paraId="78D87E2E">
            <w:pPr>
              <w:rPr>
                <w:rFonts w:hint="eastAsia" w:ascii="宋体" w:hAnsi="宋体" w:eastAsia="宋体" w:cs="宋体"/>
                <w:color w:val="auto"/>
              </w:rPr>
            </w:pPr>
            <w:r>
              <w:rPr>
                <w:rFonts w:hint="eastAsia" w:ascii="宋体" w:hAnsi="宋体" w:eastAsia="宋体" w:cs="宋体"/>
                <w:color w:val="auto"/>
              </w:rPr>
              <w:t>2.具有所维保电梯适用的安装使用维护保养说明、电气（液压）原理图、修理和维护保养工艺、施工方案、检验与试验规程及记录表式。</w:t>
            </w:r>
          </w:p>
          <w:p w14:paraId="65DFB26A">
            <w:pPr>
              <w:rPr>
                <w:rFonts w:hint="eastAsia" w:ascii="宋体" w:hAnsi="宋体" w:eastAsia="宋体" w:cs="宋体"/>
                <w:color w:val="auto"/>
              </w:rPr>
            </w:pPr>
            <w:r>
              <w:rPr>
                <w:rFonts w:hint="eastAsia" w:ascii="宋体" w:hAnsi="宋体" w:eastAsia="宋体" w:cs="宋体"/>
                <w:color w:val="auto"/>
              </w:rPr>
              <w:t>3.技术文件的适用范围、版本、审批和变更受控，现场能够取得有效版本。</w:t>
            </w:r>
          </w:p>
          <w:p w14:paraId="0729A6DC">
            <w:pPr>
              <w:rPr>
                <w:rFonts w:hint="eastAsia" w:ascii="宋体" w:hAnsi="宋体" w:eastAsia="宋体" w:cs="宋体"/>
                <w:color w:val="auto"/>
              </w:rPr>
            </w:pPr>
            <w:r>
              <w:rPr>
                <w:rFonts w:hint="eastAsia" w:ascii="宋体" w:hAnsi="宋体" w:eastAsia="宋体" w:cs="宋体"/>
                <w:color w:val="auto"/>
              </w:rPr>
              <w:t>依据：TSG 07—2019第2.1.1条、附件M M3.1和M3.5。</w:t>
            </w:r>
          </w:p>
        </w:tc>
      </w:tr>
      <w:tr w14:paraId="46E9D7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3" w:hRule="atLeast"/>
          <w:jc w:val="center"/>
        </w:trPr>
        <w:tc>
          <w:tcPr>
            <w:tcW w:w="801" w:type="dxa"/>
            <w:vAlign w:val="center"/>
          </w:tcPr>
          <w:p w14:paraId="442B62D0">
            <w:pPr>
              <w:pStyle w:val="35"/>
              <w:kinsoku w:val="0"/>
              <w:overflowPunct w:val="0"/>
              <w:ind w:left="102"/>
              <w:jc w:val="center"/>
              <w:rPr>
                <w:rFonts w:hint="eastAsia" w:ascii="宋体" w:hAnsi="宋体" w:eastAsia="宋体" w:cs="宋体"/>
                <w:color w:val="auto"/>
                <w:szCs w:val="21"/>
              </w:rPr>
            </w:pPr>
            <w:r>
              <w:rPr>
                <w:rFonts w:hint="eastAsia" w:ascii="宋体" w:hAnsi="宋体" w:eastAsia="宋体" w:cs="宋体"/>
                <w:color w:val="auto"/>
                <w:szCs w:val="21"/>
              </w:rPr>
              <w:t>8</w:t>
            </w:r>
          </w:p>
        </w:tc>
        <w:tc>
          <w:tcPr>
            <w:tcW w:w="1290" w:type="dxa"/>
            <w:vAlign w:val="center"/>
          </w:tcPr>
          <w:p w14:paraId="7C0E8772">
            <w:pPr>
              <w:pStyle w:val="35"/>
              <w:kinsoku w:val="0"/>
              <w:overflowPunct w:val="0"/>
              <w:ind w:left="102"/>
              <w:jc w:val="center"/>
              <w:rPr>
                <w:rFonts w:hint="eastAsia" w:ascii="宋体" w:hAnsi="宋体" w:eastAsia="宋体" w:cs="宋体"/>
                <w:color w:val="auto"/>
                <w:szCs w:val="21"/>
              </w:rPr>
            </w:pPr>
            <w:r>
              <w:rPr>
                <w:rFonts w:hint="eastAsia" w:ascii="宋体" w:hAnsi="宋体" w:eastAsia="宋体" w:cs="宋体"/>
                <w:color w:val="auto"/>
                <w:szCs w:val="21"/>
              </w:rPr>
              <w:t>施工设备与检测仪器</w:t>
            </w:r>
          </w:p>
        </w:tc>
        <w:tc>
          <w:tcPr>
            <w:tcW w:w="7583" w:type="dxa"/>
            <w:vAlign w:val="center"/>
          </w:tcPr>
          <w:p w14:paraId="691C26E8">
            <w:pPr>
              <w:rPr>
                <w:rFonts w:hint="eastAsia" w:ascii="宋体" w:hAnsi="宋体" w:eastAsia="宋体" w:cs="宋体"/>
                <w:color w:val="auto"/>
              </w:rPr>
            </w:pPr>
            <w:r>
              <w:rPr>
                <w:rFonts w:hint="eastAsia" w:ascii="宋体" w:hAnsi="宋体" w:eastAsia="宋体" w:cs="宋体"/>
                <w:color w:val="auto"/>
              </w:rPr>
              <w:t>1.配备与许可子项目和施工工艺相适应的起重设备、电动工具、电工工具、导轨校正仪器或者量具、通讯工具及其他施工设备。</w:t>
            </w:r>
          </w:p>
          <w:p w14:paraId="357BEFA4">
            <w:pPr>
              <w:rPr>
                <w:rFonts w:hint="eastAsia" w:ascii="宋体" w:hAnsi="宋体" w:eastAsia="宋体" w:cs="宋体"/>
                <w:color w:val="auto"/>
              </w:rPr>
            </w:pPr>
            <w:r>
              <w:rPr>
                <w:rFonts w:hint="eastAsia" w:ascii="宋体" w:hAnsi="宋体" w:eastAsia="宋体" w:cs="宋体"/>
                <w:color w:val="auto"/>
              </w:rPr>
              <w:t>2.配备相应检测仪器，数量和能力满足实际需要；依法需要检定、校准的，均在有效期内。</w:t>
            </w:r>
          </w:p>
          <w:p w14:paraId="7F19BE85">
            <w:pPr>
              <w:rPr>
                <w:rFonts w:hint="eastAsia" w:ascii="宋体" w:hAnsi="宋体" w:eastAsia="宋体" w:cs="宋体"/>
                <w:color w:val="auto"/>
              </w:rPr>
            </w:pPr>
            <w:r>
              <w:rPr>
                <w:rFonts w:hint="eastAsia" w:ascii="宋体" w:hAnsi="宋体" w:eastAsia="宋体" w:cs="宋体"/>
                <w:color w:val="auto"/>
              </w:rPr>
              <w:t>3.建立设备、仪器台账和档案，实施验收、使用、维护、检定校准、状态标识、检修和报废控制。</w:t>
            </w:r>
          </w:p>
          <w:p w14:paraId="546F24F6">
            <w:pPr>
              <w:rPr>
                <w:rFonts w:hint="eastAsia" w:ascii="宋体" w:hAnsi="宋体" w:eastAsia="宋体" w:cs="宋体"/>
                <w:color w:val="auto"/>
              </w:rPr>
            </w:pPr>
            <w:r>
              <w:rPr>
                <w:rFonts w:hint="eastAsia" w:ascii="宋体" w:hAnsi="宋体" w:eastAsia="宋体" w:cs="宋体"/>
                <w:color w:val="auto"/>
              </w:rPr>
              <w:t>依据：TSG 07—2019第2.2.2.2条、附件G G1.3和G1.4、附件M M3.11。</w:t>
            </w:r>
          </w:p>
        </w:tc>
      </w:tr>
      <w:tr w14:paraId="7BAA9D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7" w:hRule="atLeast"/>
          <w:jc w:val="center"/>
        </w:trPr>
        <w:tc>
          <w:tcPr>
            <w:tcW w:w="801" w:type="dxa"/>
            <w:vAlign w:val="center"/>
          </w:tcPr>
          <w:p w14:paraId="2C9E56F9">
            <w:pPr>
              <w:pStyle w:val="35"/>
              <w:kinsoku w:val="0"/>
              <w:overflowPunct w:val="0"/>
              <w:ind w:left="102"/>
              <w:jc w:val="center"/>
              <w:rPr>
                <w:rFonts w:hint="eastAsia" w:ascii="宋体" w:hAnsi="宋体" w:eastAsia="宋体" w:cs="宋体"/>
                <w:color w:val="auto"/>
                <w:szCs w:val="21"/>
              </w:rPr>
            </w:pPr>
            <w:r>
              <w:rPr>
                <w:rFonts w:hint="eastAsia" w:ascii="宋体" w:hAnsi="宋体" w:eastAsia="宋体" w:cs="宋体"/>
                <w:color w:val="auto"/>
                <w:szCs w:val="21"/>
              </w:rPr>
              <w:t>9</w:t>
            </w:r>
          </w:p>
        </w:tc>
        <w:tc>
          <w:tcPr>
            <w:tcW w:w="1290" w:type="dxa"/>
            <w:vAlign w:val="center"/>
          </w:tcPr>
          <w:p w14:paraId="1402AC76">
            <w:pPr>
              <w:pStyle w:val="35"/>
              <w:kinsoku w:val="0"/>
              <w:overflowPunct w:val="0"/>
              <w:ind w:left="102"/>
              <w:jc w:val="center"/>
              <w:rPr>
                <w:rFonts w:hint="eastAsia" w:ascii="宋体" w:hAnsi="宋体" w:eastAsia="宋体" w:cs="宋体"/>
                <w:color w:val="auto"/>
                <w:szCs w:val="21"/>
              </w:rPr>
            </w:pPr>
            <w:r>
              <w:rPr>
                <w:rFonts w:hint="eastAsia" w:ascii="宋体" w:hAnsi="宋体" w:eastAsia="宋体" w:cs="宋体"/>
                <w:color w:val="auto"/>
                <w:szCs w:val="21"/>
              </w:rPr>
              <w:t>合同控制与维保台账</w:t>
            </w:r>
          </w:p>
        </w:tc>
        <w:tc>
          <w:tcPr>
            <w:tcW w:w="7583" w:type="dxa"/>
            <w:vAlign w:val="center"/>
          </w:tcPr>
          <w:p w14:paraId="7D0D0F43">
            <w:pPr>
              <w:rPr>
                <w:rFonts w:hint="eastAsia" w:ascii="宋体" w:hAnsi="宋体" w:eastAsia="宋体" w:cs="宋体"/>
                <w:color w:val="auto"/>
              </w:rPr>
            </w:pPr>
            <w:r>
              <w:rPr>
                <w:rFonts w:hint="eastAsia" w:ascii="宋体" w:hAnsi="宋体" w:eastAsia="宋体" w:cs="宋体"/>
                <w:color w:val="auto"/>
              </w:rPr>
              <w:t>1.维保合同在许可范围内，明确执行的法规、安全技术规范、标准和技术条件；合同签订、修改、会签及评审程序受控并形成记录。</w:t>
            </w:r>
          </w:p>
          <w:p w14:paraId="43958988">
            <w:pPr>
              <w:rPr>
                <w:rFonts w:hint="eastAsia" w:ascii="宋体" w:hAnsi="宋体" w:eastAsia="宋体" w:cs="宋体"/>
                <w:color w:val="auto"/>
              </w:rPr>
            </w:pPr>
            <w:r>
              <w:rPr>
                <w:rFonts w:hint="eastAsia" w:ascii="宋体" w:hAnsi="宋体" w:eastAsia="宋体" w:cs="宋体"/>
                <w:color w:val="auto"/>
              </w:rPr>
              <w:t>2.建立所维保电梯台账，设备品种、参数、使用单位、使用地点、合同期限等信息与合同和现场一致。</w:t>
            </w:r>
          </w:p>
          <w:p w14:paraId="143BA7DB">
            <w:pPr>
              <w:rPr>
                <w:rFonts w:hint="eastAsia" w:ascii="宋体" w:hAnsi="宋体" w:eastAsia="宋体" w:cs="宋体"/>
                <w:color w:val="auto"/>
              </w:rPr>
            </w:pPr>
            <w:r>
              <w:rPr>
                <w:rFonts w:hint="eastAsia" w:ascii="宋体" w:hAnsi="宋体" w:eastAsia="宋体" w:cs="宋体"/>
                <w:color w:val="auto"/>
              </w:rPr>
              <w:t>3.根据设备状况和适用安全技术规范制定维保计划，并对计划变更、实施和完成情况进行记录。</w:t>
            </w:r>
          </w:p>
          <w:p w14:paraId="459EE456">
            <w:pPr>
              <w:rPr>
                <w:rFonts w:hint="eastAsia" w:ascii="宋体" w:hAnsi="宋体" w:eastAsia="宋体" w:cs="宋体"/>
                <w:color w:val="auto"/>
              </w:rPr>
            </w:pPr>
            <w:r>
              <w:rPr>
                <w:rFonts w:hint="eastAsia" w:ascii="宋体" w:hAnsi="宋体" w:eastAsia="宋体" w:cs="宋体"/>
                <w:color w:val="auto"/>
              </w:rPr>
              <w:t>依据：TSG 07—2019附件M M3.2、M3.5。</w:t>
            </w:r>
          </w:p>
        </w:tc>
      </w:tr>
      <w:tr w14:paraId="2BC369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2" w:hRule="atLeast"/>
          <w:jc w:val="center"/>
        </w:trPr>
        <w:tc>
          <w:tcPr>
            <w:tcW w:w="801" w:type="dxa"/>
            <w:vAlign w:val="center"/>
          </w:tcPr>
          <w:p w14:paraId="047A1303">
            <w:pPr>
              <w:pStyle w:val="35"/>
              <w:kinsoku w:val="0"/>
              <w:overflowPunct w:val="0"/>
              <w:ind w:left="102"/>
              <w:jc w:val="center"/>
              <w:rPr>
                <w:rFonts w:hint="eastAsia" w:ascii="宋体" w:hAnsi="宋体" w:eastAsia="宋体" w:cs="宋体"/>
                <w:color w:val="auto"/>
                <w:szCs w:val="21"/>
              </w:rPr>
            </w:pPr>
            <w:r>
              <w:rPr>
                <w:rFonts w:hint="eastAsia" w:ascii="宋体" w:hAnsi="宋体" w:eastAsia="宋体" w:cs="宋体"/>
                <w:color w:val="auto"/>
                <w:szCs w:val="21"/>
              </w:rPr>
              <w:t>10</w:t>
            </w:r>
          </w:p>
        </w:tc>
        <w:tc>
          <w:tcPr>
            <w:tcW w:w="1290" w:type="dxa"/>
            <w:vAlign w:val="center"/>
          </w:tcPr>
          <w:p w14:paraId="5B612F38">
            <w:pPr>
              <w:pStyle w:val="35"/>
              <w:kinsoku w:val="0"/>
              <w:overflowPunct w:val="0"/>
              <w:ind w:left="102"/>
              <w:jc w:val="center"/>
              <w:rPr>
                <w:rFonts w:hint="eastAsia" w:ascii="宋体" w:hAnsi="宋体" w:eastAsia="宋体" w:cs="宋体"/>
                <w:color w:val="auto"/>
                <w:szCs w:val="21"/>
              </w:rPr>
            </w:pPr>
            <w:r>
              <w:rPr>
                <w:rFonts w:hint="eastAsia" w:ascii="宋体" w:hAnsi="宋体" w:eastAsia="宋体" w:cs="宋体"/>
                <w:color w:val="auto"/>
                <w:szCs w:val="21"/>
              </w:rPr>
              <w:t>作业工艺与现场控制</w:t>
            </w:r>
          </w:p>
        </w:tc>
        <w:tc>
          <w:tcPr>
            <w:tcW w:w="7583" w:type="dxa"/>
            <w:vAlign w:val="center"/>
          </w:tcPr>
          <w:p w14:paraId="0A7C705F">
            <w:pPr>
              <w:rPr>
                <w:rFonts w:hint="eastAsia" w:ascii="宋体" w:hAnsi="宋体" w:eastAsia="宋体" w:cs="宋体"/>
                <w:color w:val="auto"/>
              </w:rPr>
            </w:pPr>
            <w:r>
              <w:rPr>
                <w:rFonts w:hint="eastAsia" w:ascii="宋体" w:hAnsi="宋体" w:eastAsia="宋体" w:cs="宋体"/>
                <w:color w:val="auto"/>
              </w:rPr>
              <w:t>1.电梯修理、维护保养作业（工艺）文件内容完整、适用，按规定审批和变更。</w:t>
            </w:r>
          </w:p>
          <w:p w14:paraId="55BD85C3">
            <w:pPr>
              <w:rPr>
                <w:rFonts w:hint="eastAsia" w:ascii="宋体" w:hAnsi="宋体" w:eastAsia="宋体" w:cs="宋体"/>
                <w:color w:val="auto"/>
              </w:rPr>
            </w:pPr>
            <w:r>
              <w:rPr>
                <w:rFonts w:hint="eastAsia" w:ascii="宋体" w:hAnsi="宋体" w:eastAsia="宋体" w:cs="宋体"/>
                <w:color w:val="auto"/>
              </w:rPr>
              <w:t>2.项目负责人和相关质量控制系统责任人员按职责对人员安排、作业过程、关键控制点、现场风险辨识及防护措施进行控制。</w:t>
            </w:r>
          </w:p>
          <w:p w14:paraId="36B31E9F">
            <w:pPr>
              <w:rPr>
                <w:rFonts w:hint="eastAsia" w:ascii="宋体" w:hAnsi="宋体" w:eastAsia="宋体" w:cs="宋体"/>
                <w:color w:val="auto"/>
              </w:rPr>
            </w:pPr>
            <w:r>
              <w:rPr>
                <w:rFonts w:hint="eastAsia" w:ascii="宋体" w:hAnsi="宋体" w:eastAsia="宋体" w:cs="宋体"/>
                <w:color w:val="auto"/>
              </w:rPr>
              <w:t>3.定期检查作业（工艺）执行情况，发现偏离及时处置并形成工作见证。</w:t>
            </w:r>
          </w:p>
          <w:p w14:paraId="3A5D639E">
            <w:pPr>
              <w:rPr>
                <w:rFonts w:hint="eastAsia" w:ascii="宋体" w:hAnsi="宋体" w:eastAsia="宋体" w:cs="宋体"/>
                <w:color w:val="auto"/>
              </w:rPr>
            </w:pPr>
            <w:r>
              <w:rPr>
                <w:rFonts w:hint="eastAsia" w:ascii="宋体" w:hAnsi="宋体" w:eastAsia="宋体" w:cs="宋体"/>
                <w:color w:val="auto"/>
              </w:rPr>
              <w:t>依据：TSG 07—2019附件G G1.1、附件M M3.5。</w:t>
            </w:r>
          </w:p>
        </w:tc>
      </w:tr>
      <w:tr w14:paraId="561C73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9" w:hRule="atLeast"/>
          <w:jc w:val="center"/>
        </w:trPr>
        <w:tc>
          <w:tcPr>
            <w:tcW w:w="801" w:type="dxa"/>
            <w:vAlign w:val="center"/>
          </w:tcPr>
          <w:p w14:paraId="33A10305">
            <w:pPr>
              <w:pStyle w:val="35"/>
              <w:kinsoku w:val="0"/>
              <w:overflowPunct w:val="0"/>
              <w:ind w:left="102"/>
              <w:jc w:val="center"/>
              <w:rPr>
                <w:rFonts w:hint="eastAsia" w:ascii="宋体" w:hAnsi="宋体" w:eastAsia="宋体" w:cs="宋体"/>
                <w:color w:val="auto"/>
                <w:szCs w:val="21"/>
              </w:rPr>
            </w:pPr>
            <w:r>
              <w:rPr>
                <w:rFonts w:hint="eastAsia" w:ascii="宋体" w:hAnsi="宋体" w:eastAsia="宋体" w:cs="宋体"/>
                <w:color w:val="auto"/>
                <w:szCs w:val="21"/>
              </w:rPr>
              <w:t>11</w:t>
            </w:r>
          </w:p>
        </w:tc>
        <w:tc>
          <w:tcPr>
            <w:tcW w:w="1290" w:type="dxa"/>
            <w:vAlign w:val="center"/>
          </w:tcPr>
          <w:p w14:paraId="02C3BEE2">
            <w:pPr>
              <w:pStyle w:val="35"/>
              <w:kinsoku w:val="0"/>
              <w:overflowPunct w:val="0"/>
              <w:ind w:left="102"/>
              <w:jc w:val="center"/>
              <w:rPr>
                <w:rFonts w:hint="eastAsia" w:ascii="宋体" w:hAnsi="宋体" w:eastAsia="宋体" w:cs="宋体"/>
                <w:color w:val="auto"/>
                <w:szCs w:val="21"/>
              </w:rPr>
            </w:pPr>
            <w:r>
              <w:rPr>
                <w:rFonts w:hint="eastAsia" w:ascii="宋体" w:hAnsi="宋体" w:eastAsia="宋体" w:cs="宋体"/>
                <w:color w:val="auto"/>
                <w:szCs w:val="21"/>
              </w:rPr>
              <w:t>材料、零部件与外委控制</w:t>
            </w:r>
          </w:p>
        </w:tc>
        <w:tc>
          <w:tcPr>
            <w:tcW w:w="7583" w:type="dxa"/>
            <w:vAlign w:val="center"/>
          </w:tcPr>
          <w:p w14:paraId="5CABBAE8">
            <w:pPr>
              <w:rPr>
                <w:rFonts w:hint="eastAsia" w:ascii="宋体" w:hAnsi="宋体" w:eastAsia="宋体" w:cs="宋体"/>
                <w:color w:val="auto"/>
              </w:rPr>
            </w:pPr>
            <w:r>
              <w:rPr>
                <w:rFonts w:hint="eastAsia" w:ascii="宋体" w:hAnsi="宋体" w:eastAsia="宋体" w:cs="宋体"/>
                <w:color w:val="auto"/>
              </w:rPr>
              <w:t>1.对修理和维护保养使用的材料、零部件实施采购、供方评价、验收、标识、存放、领用、代用和可追溯控制，质量证明文件齐全。</w:t>
            </w:r>
          </w:p>
          <w:p w14:paraId="6CD10B55">
            <w:pPr>
              <w:rPr>
                <w:rFonts w:hint="eastAsia" w:ascii="宋体" w:hAnsi="宋体" w:eastAsia="宋体" w:cs="宋体"/>
                <w:color w:val="auto"/>
              </w:rPr>
            </w:pPr>
            <w:r>
              <w:rPr>
                <w:rFonts w:hint="eastAsia" w:ascii="宋体" w:hAnsi="宋体" w:eastAsia="宋体" w:cs="宋体"/>
                <w:color w:val="auto"/>
              </w:rPr>
              <w:t>2.未经验收或者验收不合格的材料、零部件不得投入使用。</w:t>
            </w:r>
          </w:p>
          <w:p w14:paraId="57CDA6D2">
            <w:pPr>
              <w:rPr>
                <w:rFonts w:hint="eastAsia" w:ascii="宋体" w:hAnsi="宋体" w:eastAsia="宋体" w:cs="宋体"/>
                <w:color w:val="auto"/>
              </w:rPr>
            </w:pPr>
            <w:r>
              <w:rPr>
                <w:rFonts w:hint="eastAsia" w:ascii="宋体" w:hAnsi="宋体" w:eastAsia="宋体" w:cs="宋体"/>
                <w:color w:val="auto"/>
              </w:rPr>
              <w:t>3.允许外委的工作仅委托给具有相应能力的单位，签订明确质量要求的合同（协议），并将外委质量纳入本单位质量保证体系控制。</w:t>
            </w:r>
          </w:p>
          <w:p w14:paraId="2A7E9B66">
            <w:pPr>
              <w:rPr>
                <w:rFonts w:hint="eastAsia" w:ascii="宋体" w:hAnsi="宋体" w:eastAsia="宋体" w:cs="宋体"/>
                <w:color w:val="auto"/>
              </w:rPr>
            </w:pPr>
            <w:r>
              <w:rPr>
                <w:rFonts w:hint="eastAsia" w:ascii="宋体" w:hAnsi="宋体" w:eastAsia="宋体" w:cs="宋体"/>
                <w:color w:val="auto"/>
              </w:rPr>
              <w:t>依据：TSG 07—2019第2.2.3条、附件M M3.4。</w:t>
            </w:r>
          </w:p>
        </w:tc>
      </w:tr>
      <w:tr w14:paraId="6DA67E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01" w:type="dxa"/>
            <w:vAlign w:val="center"/>
          </w:tcPr>
          <w:p w14:paraId="19BF6B16">
            <w:pPr>
              <w:pStyle w:val="35"/>
              <w:kinsoku w:val="0"/>
              <w:overflowPunct w:val="0"/>
              <w:ind w:left="102"/>
              <w:jc w:val="center"/>
              <w:rPr>
                <w:rFonts w:hint="eastAsia" w:ascii="宋体" w:hAnsi="宋体" w:eastAsia="宋体" w:cs="宋体"/>
                <w:color w:val="auto"/>
                <w:szCs w:val="21"/>
              </w:rPr>
            </w:pPr>
            <w:r>
              <w:rPr>
                <w:rFonts w:hint="eastAsia" w:ascii="宋体" w:hAnsi="宋体" w:eastAsia="宋体" w:cs="宋体"/>
                <w:color w:val="auto"/>
                <w:szCs w:val="21"/>
              </w:rPr>
              <w:t>12</w:t>
            </w:r>
          </w:p>
        </w:tc>
        <w:tc>
          <w:tcPr>
            <w:tcW w:w="1290" w:type="dxa"/>
            <w:vAlign w:val="center"/>
          </w:tcPr>
          <w:p w14:paraId="1C950382">
            <w:pPr>
              <w:pStyle w:val="35"/>
              <w:kinsoku w:val="0"/>
              <w:overflowPunct w:val="0"/>
              <w:ind w:left="102"/>
              <w:jc w:val="center"/>
              <w:rPr>
                <w:rFonts w:hint="eastAsia" w:ascii="宋体" w:hAnsi="宋体" w:eastAsia="宋体" w:cs="宋体"/>
                <w:color w:val="auto"/>
                <w:szCs w:val="21"/>
              </w:rPr>
            </w:pPr>
            <w:r>
              <w:rPr>
                <w:rFonts w:hint="eastAsia" w:ascii="宋体" w:hAnsi="宋体" w:eastAsia="宋体" w:cs="宋体"/>
                <w:color w:val="auto"/>
                <w:szCs w:val="21"/>
              </w:rPr>
              <w:t>检验与试验控制</w:t>
            </w:r>
          </w:p>
        </w:tc>
        <w:tc>
          <w:tcPr>
            <w:tcW w:w="7583" w:type="dxa"/>
            <w:vAlign w:val="center"/>
          </w:tcPr>
          <w:p w14:paraId="75EE0EEC">
            <w:pPr>
              <w:rPr>
                <w:rFonts w:hint="eastAsia" w:ascii="宋体" w:hAnsi="宋体" w:eastAsia="宋体" w:cs="宋体"/>
                <w:color w:val="auto"/>
              </w:rPr>
            </w:pPr>
            <w:r>
              <w:rPr>
                <w:rFonts w:hint="eastAsia" w:ascii="宋体" w:hAnsi="宋体" w:eastAsia="宋体" w:cs="宋体"/>
                <w:color w:val="auto"/>
              </w:rPr>
              <w:t>1.检验与试验工艺文件明确依据、项目、方法、技术要求、仪器设备和判定规则。</w:t>
            </w:r>
          </w:p>
          <w:p w14:paraId="04FDDB3F">
            <w:pPr>
              <w:rPr>
                <w:rFonts w:hint="eastAsia" w:ascii="宋体" w:hAnsi="宋体" w:eastAsia="宋体" w:cs="宋体"/>
                <w:color w:val="auto"/>
              </w:rPr>
            </w:pPr>
            <w:r>
              <w:rPr>
                <w:rFonts w:hint="eastAsia" w:ascii="宋体" w:hAnsi="宋体" w:eastAsia="宋体" w:cs="宋体"/>
                <w:color w:val="auto"/>
              </w:rPr>
              <w:t>2.过程检验、自行检查和最终检验按规定实施；前道工序未检验确认不得转序，最终结论不符合要求不得交付。</w:t>
            </w:r>
          </w:p>
          <w:p w14:paraId="6F212F6F">
            <w:pPr>
              <w:rPr>
                <w:rFonts w:hint="eastAsia" w:ascii="宋体" w:hAnsi="宋体" w:eastAsia="宋体" w:cs="宋体"/>
                <w:color w:val="auto"/>
              </w:rPr>
            </w:pPr>
            <w:r>
              <w:rPr>
                <w:rFonts w:hint="eastAsia" w:ascii="宋体" w:hAnsi="宋体" w:eastAsia="宋体" w:cs="宋体"/>
                <w:color w:val="auto"/>
              </w:rPr>
              <w:t>3.检验状态标识清楚，记录和报告填写、审核、确认、归档完整，检验与试验质量控制系统责任人员履行审查确认职责。</w:t>
            </w:r>
          </w:p>
          <w:p w14:paraId="1BB44422">
            <w:pPr>
              <w:rPr>
                <w:rFonts w:hint="eastAsia" w:ascii="宋体" w:hAnsi="宋体" w:eastAsia="宋体" w:cs="宋体"/>
                <w:color w:val="auto"/>
              </w:rPr>
            </w:pPr>
            <w:r>
              <w:rPr>
                <w:rFonts w:hint="eastAsia" w:ascii="宋体" w:hAnsi="宋体" w:eastAsia="宋体" w:cs="宋体"/>
                <w:color w:val="auto"/>
              </w:rPr>
              <w:t>依据：TSG 07—2019附件M M3.10。</w:t>
            </w:r>
          </w:p>
        </w:tc>
      </w:tr>
      <w:tr w14:paraId="2BDAF7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01" w:type="dxa"/>
            <w:vAlign w:val="center"/>
          </w:tcPr>
          <w:p w14:paraId="2DF5B48F">
            <w:pPr>
              <w:pStyle w:val="35"/>
              <w:kinsoku w:val="0"/>
              <w:overflowPunct w:val="0"/>
              <w:ind w:left="102"/>
              <w:jc w:val="center"/>
              <w:rPr>
                <w:rFonts w:hint="eastAsia" w:ascii="宋体" w:hAnsi="宋体" w:eastAsia="宋体" w:cs="宋体"/>
                <w:color w:val="auto"/>
                <w:szCs w:val="21"/>
              </w:rPr>
            </w:pPr>
            <w:r>
              <w:rPr>
                <w:rFonts w:hint="eastAsia" w:ascii="宋体" w:hAnsi="宋体" w:eastAsia="宋体" w:cs="宋体"/>
                <w:color w:val="auto"/>
                <w:szCs w:val="21"/>
              </w:rPr>
              <w:t>13</w:t>
            </w:r>
          </w:p>
        </w:tc>
        <w:tc>
          <w:tcPr>
            <w:tcW w:w="1290" w:type="dxa"/>
            <w:vAlign w:val="center"/>
          </w:tcPr>
          <w:p w14:paraId="275A7B80">
            <w:pPr>
              <w:pStyle w:val="35"/>
              <w:kinsoku w:val="0"/>
              <w:overflowPunct w:val="0"/>
              <w:ind w:left="102"/>
              <w:jc w:val="center"/>
              <w:rPr>
                <w:rFonts w:hint="eastAsia" w:ascii="宋体" w:hAnsi="宋体" w:eastAsia="宋体" w:cs="宋体"/>
                <w:color w:val="auto"/>
                <w:szCs w:val="21"/>
              </w:rPr>
            </w:pPr>
            <w:r>
              <w:rPr>
                <w:rFonts w:hint="eastAsia" w:ascii="宋体" w:hAnsi="宋体" w:eastAsia="宋体" w:cs="宋体"/>
                <w:color w:val="auto"/>
                <w:szCs w:val="21"/>
              </w:rPr>
              <w:t>文件记录与技术档案</w:t>
            </w:r>
          </w:p>
        </w:tc>
        <w:tc>
          <w:tcPr>
            <w:tcW w:w="7583" w:type="dxa"/>
            <w:vAlign w:val="center"/>
          </w:tcPr>
          <w:p w14:paraId="50281B29">
            <w:pPr>
              <w:rPr>
                <w:rFonts w:hint="eastAsia" w:ascii="宋体" w:hAnsi="宋体" w:eastAsia="宋体" w:cs="宋体"/>
                <w:color w:val="auto"/>
              </w:rPr>
            </w:pPr>
            <w:r>
              <w:rPr>
                <w:rFonts w:hint="eastAsia" w:ascii="宋体" w:hAnsi="宋体" w:eastAsia="宋体" w:cs="宋体"/>
                <w:color w:val="auto"/>
              </w:rPr>
              <w:t>1.文件和记录的编制、审核、批准、发放、修改、回收、填写、确认、归档、保存期限和销毁均受控。</w:t>
            </w:r>
          </w:p>
          <w:p w14:paraId="16A86880">
            <w:pPr>
              <w:rPr>
                <w:rFonts w:hint="eastAsia" w:ascii="宋体" w:hAnsi="宋体" w:eastAsia="宋体" w:cs="宋体"/>
                <w:color w:val="auto"/>
              </w:rPr>
            </w:pPr>
            <w:r>
              <w:rPr>
                <w:rFonts w:hint="eastAsia" w:ascii="宋体" w:hAnsi="宋体" w:eastAsia="宋体" w:cs="宋体"/>
                <w:color w:val="auto"/>
              </w:rPr>
              <w:t>2.逐台建立可追溯的维保技术档案，至少能够反映合同、台账、计划、维护保养、故障与修理、自行检查、检验问题处理等过程。</w:t>
            </w:r>
          </w:p>
          <w:p w14:paraId="76364902">
            <w:pPr>
              <w:rPr>
                <w:rFonts w:hint="eastAsia" w:ascii="宋体" w:hAnsi="宋体" w:eastAsia="宋体" w:cs="宋体"/>
                <w:color w:val="auto"/>
              </w:rPr>
            </w:pPr>
            <w:r>
              <w:rPr>
                <w:rFonts w:hint="eastAsia" w:ascii="宋体" w:hAnsi="宋体" w:eastAsia="宋体" w:cs="宋体"/>
                <w:color w:val="auto"/>
              </w:rPr>
              <w:t>3.现场抽查记录应真实、准确、完整，签字（含可靠电子签名）和日期齐全，与设备及作业人员对应。</w:t>
            </w:r>
          </w:p>
          <w:p w14:paraId="5540A3DB">
            <w:pPr>
              <w:rPr>
                <w:rFonts w:hint="eastAsia" w:ascii="宋体" w:hAnsi="宋体" w:eastAsia="宋体" w:cs="宋体"/>
                <w:color w:val="auto"/>
              </w:rPr>
            </w:pPr>
            <w:r>
              <w:rPr>
                <w:rFonts w:hint="eastAsia" w:ascii="宋体" w:hAnsi="宋体" w:eastAsia="宋体" w:cs="宋体"/>
                <w:color w:val="auto"/>
              </w:rPr>
              <w:t>依据：TSG 07—2019附件M M3.1。</w:t>
            </w:r>
          </w:p>
        </w:tc>
      </w:tr>
      <w:tr w14:paraId="46F341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01" w:type="dxa"/>
            <w:vAlign w:val="center"/>
          </w:tcPr>
          <w:p w14:paraId="555331EA">
            <w:pPr>
              <w:pStyle w:val="35"/>
              <w:kinsoku w:val="0"/>
              <w:overflowPunct w:val="0"/>
              <w:ind w:left="102"/>
              <w:jc w:val="center"/>
              <w:rPr>
                <w:rFonts w:hint="eastAsia" w:ascii="宋体" w:hAnsi="宋体" w:eastAsia="宋体" w:cs="宋体"/>
                <w:color w:val="auto"/>
                <w:szCs w:val="21"/>
              </w:rPr>
            </w:pPr>
            <w:r>
              <w:rPr>
                <w:rFonts w:hint="eastAsia" w:ascii="宋体" w:hAnsi="宋体" w:eastAsia="宋体" w:cs="宋体"/>
                <w:color w:val="auto"/>
                <w:szCs w:val="21"/>
              </w:rPr>
              <w:t>14</w:t>
            </w:r>
          </w:p>
        </w:tc>
        <w:tc>
          <w:tcPr>
            <w:tcW w:w="1290" w:type="dxa"/>
            <w:vAlign w:val="center"/>
          </w:tcPr>
          <w:p w14:paraId="0A652F9D">
            <w:pPr>
              <w:pStyle w:val="35"/>
              <w:kinsoku w:val="0"/>
              <w:overflowPunct w:val="0"/>
              <w:ind w:left="102"/>
              <w:jc w:val="center"/>
              <w:rPr>
                <w:rFonts w:hint="eastAsia" w:ascii="宋体" w:hAnsi="宋体" w:eastAsia="宋体" w:cs="宋体"/>
                <w:color w:val="auto"/>
                <w:szCs w:val="21"/>
              </w:rPr>
            </w:pPr>
            <w:r>
              <w:rPr>
                <w:rFonts w:hint="eastAsia" w:ascii="宋体" w:hAnsi="宋体" w:eastAsia="宋体" w:cs="宋体"/>
                <w:color w:val="auto"/>
                <w:szCs w:val="21"/>
              </w:rPr>
              <w:t>不合格项与质量改进</w:t>
            </w:r>
          </w:p>
        </w:tc>
        <w:tc>
          <w:tcPr>
            <w:tcW w:w="7583" w:type="dxa"/>
            <w:vAlign w:val="center"/>
          </w:tcPr>
          <w:p w14:paraId="40ADAF19">
            <w:pPr>
              <w:rPr>
                <w:rFonts w:hint="eastAsia" w:ascii="宋体" w:hAnsi="宋体" w:eastAsia="宋体" w:cs="宋体"/>
                <w:color w:val="auto"/>
              </w:rPr>
            </w:pPr>
            <w:r>
              <w:rPr>
                <w:rFonts w:hint="eastAsia" w:ascii="宋体" w:hAnsi="宋体" w:eastAsia="宋体" w:cs="宋体"/>
                <w:color w:val="auto"/>
              </w:rPr>
              <w:t>1.对不合格品（项）进行记录、标识、原因分析、处置、处置后检验，并对纠正、预防措施进行跟踪验证。</w:t>
            </w:r>
          </w:p>
          <w:p w14:paraId="36005EC4">
            <w:pPr>
              <w:rPr>
                <w:rFonts w:hint="eastAsia" w:ascii="宋体" w:hAnsi="宋体" w:eastAsia="宋体" w:cs="宋体"/>
                <w:color w:val="auto"/>
              </w:rPr>
            </w:pPr>
            <w:r>
              <w:rPr>
                <w:rFonts w:hint="eastAsia" w:ascii="宋体" w:hAnsi="宋体" w:eastAsia="宋体" w:cs="宋体"/>
                <w:color w:val="auto"/>
              </w:rPr>
              <w:t>2.收集、分析和处理内外部质量信息、监管和检验机构提出的问题、故障及投诉，形成闭环。</w:t>
            </w:r>
          </w:p>
          <w:p w14:paraId="79A51851">
            <w:pPr>
              <w:rPr>
                <w:rFonts w:hint="eastAsia" w:ascii="宋体" w:hAnsi="宋体" w:eastAsia="宋体" w:cs="宋体"/>
                <w:color w:val="auto"/>
              </w:rPr>
            </w:pPr>
            <w:r>
              <w:rPr>
                <w:rFonts w:hint="eastAsia" w:ascii="宋体" w:hAnsi="宋体" w:eastAsia="宋体" w:cs="宋体"/>
                <w:color w:val="auto"/>
              </w:rPr>
              <w:t>3.每年至少开展1次完整内部审核，对发现问题实施纠正并验证有效性；定期开展质量统计分析和客户服务评价。</w:t>
            </w:r>
          </w:p>
          <w:p w14:paraId="66E05394">
            <w:pPr>
              <w:rPr>
                <w:rFonts w:hint="eastAsia" w:ascii="宋体" w:hAnsi="宋体" w:eastAsia="宋体" w:cs="宋体"/>
                <w:color w:val="auto"/>
              </w:rPr>
            </w:pPr>
            <w:r>
              <w:rPr>
                <w:rFonts w:hint="eastAsia" w:ascii="宋体" w:hAnsi="宋体" w:eastAsia="宋体" w:cs="宋体"/>
                <w:color w:val="auto"/>
              </w:rPr>
              <w:t>依据：TSG 07—2019附件M M3.12、M3.13。</w:t>
            </w:r>
          </w:p>
        </w:tc>
      </w:tr>
      <w:tr w14:paraId="2F6770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01" w:type="dxa"/>
            <w:vAlign w:val="center"/>
          </w:tcPr>
          <w:p w14:paraId="13FA6D09">
            <w:pPr>
              <w:pStyle w:val="35"/>
              <w:kinsoku w:val="0"/>
              <w:overflowPunct w:val="0"/>
              <w:ind w:left="102"/>
              <w:jc w:val="center"/>
              <w:rPr>
                <w:rFonts w:hint="eastAsia" w:ascii="宋体" w:hAnsi="宋体" w:eastAsia="宋体" w:cs="宋体"/>
                <w:color w:val="auto"/>
                <w:szCs w:val="21"/>
              </w:rPr>
            </w:pPr>
            <w:r>
              <w:rPr>
                <w:rFonts w:hint="eastAsia" w:ascii="宋体" w:hAnsi="宋体" w:eastAsia="宋体" w:cs="宋体"/>
                <w:color w:val="auto"/>
                <w:szCs w:val="21"/>
              </w:rPr>
              <w:t>15</w:t>
            </w:r>
          </w:p>
        </w:tc>
        <w:tc>
          <w:tcPr>
            <w:tcW w:w="1290" w:type="dxa"/>
            <w:vAlign w:val="center"/>
          </w:tcPr>
          <w:p w14:paraId="7D2FA0DF">
            <w:pPr>
              <w:pStyle w:val="35"/>
              <w:kinsoku w:val="0"/>
              <w:overflowPunct w:val="0"/>
              <w:ind w:left="102"/>
              <w:jc w:val="center"/>
              <w:rPr>
                <w:rFonts w:hint="eastAsia" w:ascii="宋体" w:hAnsi="宋体" w:eastAsia="宋体" w:cs="宋体"/>
                <w:color w:val="auto"/>
                <w:szCs w:val="21"/>
              </w:rPr>
            </w:pPr>
            <w:r>
              <w:rPr>
                <w:rFonts w:hint="eastAsia" w:ascii="宋体" w:hAnsi="宋体" w:eastAsia="宋体" w:cs="宋体"/>
                <w:color w:val="auto"/>
                <w:szCs w:val="21"/>
              </w:rPr>
              <w:t>人员培训与管理</w:t>
            </w:r>
          </w:p>
        </w:tc>
        <w:tc>
          <w:tcPr>
            <w:tcW w:w="7583" w:type="dxa"/>
            <w:vAlign w:val="center"/>
          </w:tcPr>
          <w:p w14:paraId="0CA6864F">
            <w:pPr>
              <w:rPr>
                <w:rFonts w:hint="eastAsia" w:ascii="宋体" w:hAnsi="宋体" w:eastAsia="宋体" w:cs="宋体"/>
                <w:color w:val="auto"/>
              </w:rPr>
            </w:pPr>
            <w:r>
              <w:rPr>
                <w:rFonts w:hint="eastAsia" w:ascii="宋体" w:hAnsi="宋体" w:eastAsia="宋体" w:cs="宋体"/>
                <w:color w:val="auto"/>
              </w:rPr>
              <w:t>1.建立人员聘用、岗位、培训和考核管理制度。</w:t>
            </w:r>
          </w:p>
          <w:p w14:paraId="1A20272C">
            <w:pPr>
              <w:rPr>
                <w:rFonts w:hint="eastAsia" w:ascii="宋体" w:hAnsi="宋体" w:eastAsia="宋体" w:cs="宋体"/>
                <w:color w:val="auto"/>
              </w:rPr>
            </w:pPr>
            <w:r>
              <w:rPr>
                <w:rFonts w:hint="eastAsia" w:ascii="宋体" w:hAnsi="宋体" w:eastAsia="宋体" w:cs="宋体"/>
                <w:color w:val="auto"/>
              </w:rPr>
              <w:t>2.制定并实施年度培训计划，培训内容覆盖法规标准、质量保证体系、岗位技能、现场安全和风险防控。</w:t>
            </w:r>
          </w:p>
          <w:p w14:paraId="14224718">
            <w:pPr>
              <w:rPr>
                <w:rFonts w:hint="eastAsia" w:ascii="宋体" w:hAnsi="宋体" w:eastAsia="宋体" w:cs="宋体"/>
                <w:color w:val="auto"/>
              </w:rPr>
            </w:pPr>
            <w:r>
              <w:rPr>
                <w:rFonts w:hint="eastAsia" w:ascii="宋体" w:hAnsi="宋体" w:eastAsia="宋体" w:cs="宋体"/>
                <w:color w:val="auto"/>
              </w:rPr>
              <w:t>3.建立许可所要求人员的培训、考核、资格证书和继续教育档案，确保持证项目和实际工作相适应。</w:t>
            </w:r>
          </w:p>
          <w:p w14:paraId="273B7796">
            <w:pPr>
              <w:rPr>
                <w:rFonts w:hint="eastAsia" w:ascii="宋体" w:hAnsi="宋体" w:eastAsia="宋体" w:cs="宋体"/>
                <w:color w:val="auto"/>
              </w:rPr>
            </w:pPr>
            <w:r>
              <w:rPr>
                <w:rFonts w:hint="eastAsia" w:ascii="宋体" w:hAnsi="宋体" w:eastAsia="宋体" w:cs="宋体"/>
                <w:color w:val="auto"/>
              </w:rPr>
              <w:t>依据：TSG 07—2019附件M M3.14。</w:t>
            </w:r>
          </w:p>
        </w:tc>
      </w:tr>
      <w:tr w14:paraId="0203FD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01" w:type="dxa"/>
            <w:vAlign w:val="center"/>
          </w:tcPr>
          <w:p w14:paraId="6E23B404">
            <w:pPr>
              <w:pStyle w:val="35"/>
              <w:kinsoku w:val="0"/>
              <w:overflowPunct w:val="0"/>
              <w:ind w:left="102"/>
              <w:jc w:val="center"/>
              <w:rPr>
                <w:rFonts w:hint="eastAsia" w:ascii="宋体" w:hAnsi="宋体" w:eastAsia="宋体" w:cs="宋体"/>
                <w:color w:val="auto"/>
                <w:szCs w:val="21"/>
              </w:rPr>
            </w:pPr>
            <w:r>
              <w:rPr>
                <w:rFonts w:hint="eastAsia" w:ascii="宋体" w:hAnsi="宋体" w:eastAsia="宋体" w:cs="宋体"/>
                <w:color w:val="auto"/>
                <w:szCs w:val="21"/>
              </w:rPr>
              <w:t>16</w:t>
            </w:r>
          </w:p>
        </w:tc>
        <w:tc>
          <w:tcPr>
            <w:tcW w:w="1290" w:type="dxa"/>
            <w:vAlign w:val="center"/>
          </w:tcPr>
          <w:p w14:paraId="2E57F693">
            <w:pPr>
              <w:pStyle w:val="35"/>
              <w:kinsoku w:val="0"/>
              <w:overflowPunct w:val="0"/>
              <w:ind w:left="102"/>
              <w:jc w:val="center"/>
              <w:rPr>
                <w:rFonts w:hint="eastAsia" w:ascii="宋体" w:hAnsi="宋体" w:eastAsia="宋体" w:cs="宋体"/>
                <w:color w:val="auto"/>
                <w:szCs w:val="21"/>
              </w:rPr>
            </w:pPr>
            <w:r>
              <w:rPr>
                <w:rFonts w:hint="eastAsia" w:ascii="宋体" w:hAnsi="宋体" w:eastAsia="宋体" w:cs="宋体"/>
                <w:color w:val="auto"/>
                <w:szCs w:val="21"/>
              </w:rPr>
              <w:t>许可制度执行与信息变更</w:t>
            </w:r>
          </w:p>
        </w:tc>
        <w:tc>
          <w:tcPr>
            <w:tcW w:w="7583" w:type="dxa"/>
            <w:vAlign w:val="center"/>
          </w:tcPr>
          <w:p w14:paraId="1E65C7E7">
            <w:pPr>
              <w:rPr>
                <w:rFonts w:hint="eastAsia" w:ascii="宋体" w:hAnsi="宋体" w:eastAsia="宋体" w:cs="宋体"/>
                <w:color w:val="auto"/>
              </w:rPr>
            </w:pPr>
            <w:r>
              <w:rPr>
                <w:rFonts w:hint="eastAsia" w:ascii="宋体" w:hAnsi="宋体" w:eastAsia="宋体" w:cs="宋体"/>
                <w:color w:val="auto"/>
              </w:rPr>
              <w:t>1.接受监管部门监督检查，按规定配合监督检验，及时处理监管、检验机构提出的问题并验证整改结果。</w:t>
            </w:r>
          </w:p>
          <w:p w14:paraId="4557B846">
            <w:pPr>
              <w:rPr>
                <w:rFonts w:hint="eastAsia" w:ascii="宋体" w:hAnsi="宋体" w:eastAsia="宋体" w:cs="宋体"/>
                <w:color w:val="auto"/>
              </w:rPr>
            </w:pPr>
            <w:r>
              <w:rPr>
                <w:rFonts w:hint="eastAsia" w:ascii="宋体" w:hAnsi="宋体" w:eastAsia="宋体" w:cs="宋体"/>
                <w:color w:val="auto"/>
              </w:rPr>
              <w:t>2.单位名称、住所、办公地址、许可范围、质量保证体系等发生变更、变化时，按规定办理许可变更、备案或者增项；按期申请换证。</w:t>
            </w:r>
          </w:p>
          <w:p w14:paraId="19A02B5D">
            <w:pPr>
              <w:rPr>
                <w:rFonts w:hint="eastAsia" w:ascii="宋体" w:hAnsi="宋体" w:eastAsia="宋体" w:cs="宋体"/>
                <w:color w:val="auto"/>
              </w:rPr>
            </w:pPr>
            <w:r>
              <w:rPr>
                <w:rFonts w:hint="eastAsia" w:ascii="宋体" w:hAnsi="宋体" w:eastAsia="宋体" w:cs="宋体"/>
                <w:color w:val="auto"/>
              </w:rPr>
              <w:t>3.按规定向监管部门、检验机构和社会提供机构、人员、设备设施及生产过程相关信息；由质量保证工程师监督检查许可制度执行情况并形成记录。</w:t>
            </w:r>
          </w:p>
          <w:p w14:paraId="7F9B4070">
            <w:pPr>
              <w:rPr>
                <w:rFonts w:hint="eastAsia" w:ascii="宋体" w:hAnsi="宋体" w:eastAsia="宋体" w:cs="宋体"/>
                <w:color w:val="auto"/>
              </w:rPr>
            </w:pPr>
            <w:r>
              <w:rPr>
                <w:rFonts w:hint="eastAsia" w:ascii="宋体" w:hAnsi="宋体" w:eastAsia="宋体" w:cs="宋体"/>
                <w:color w:val="auto"/>
              </w:rPr>
              <w:t>依据：TSG 07—2019第3.6条、附件M M3.15。</w:t>
            </w:r>
          </w:p>
        </w:tc>
      </w:tr>
    </w:tbl>
    <w:p w14:paraId="6E1298F4">
      <w:pPr>
        <w:pStyle w:val="20"/>
        <w:spacing w:line="560" w:lineRule="exact"/>
        <w:ind w:firstLine="640"/>
        <w:rPr>
          <w:rFonts w:hint="eastAsia" w:ascii="楷体" w:hAnsi="楷体" w:eastAsia="楷体" w:cs="楷体"/>
          <w:bCs/>
          <w:color w:val="000000"/>
          <w:sz w:val="32"/>
          <w:szCs w:val="32"/>
        </w:rPr>
      </w:pPr>
    </w:p>
    <w:p w14:paraId="5A82AACC">
      <w:pPr>
        <w:pStyle w:val="20"/>
        <w:spacing w:line="560" w:lineRule="exact"/>
        <w:rPr>
          <w:rFonts w:hint="eastAsia" w:ascii="宋体" w:hAnsi="宋体" w:eastAsia="宋体" w:cs="宋体"/>
          <w:color w:val="EE0000"/>
        </w:rPr>
      </w:pPr>
    </w:p>
    <w:p w14:paraId="61DF4314">
      <w:pPr>
        <w:pStyle w:val="20"/>
        <w:spacing w:line="560" w:lineRule="exact"/>
        <w:rPr>
          <w:rFonts w:hint="eastAsia" w:ascii="宋体" w:hAnsi="宋体" w:eastAsia="宋体" w:cs="宋体"/>
          <w:color w:val="EE0000"/>
        </w:rPr>
        <w:sectPr>
          <w:footerReference r:id="rId3" w:type="default"/>
          <w:pgSz w:w="11906" w:h="16838"/>
          <w:pgMar w:top="1928" w:right="1474" w:bottom="1814" w:left="1587" w:header="851" w:footer="992" w:gutter="0"/>
          <w:pgNumType w:fmt="numberInDash"/>
          <w:cols w:space="0" w:num="1"/>
          <w:docGrid w:type="lines" w:linePitch="312" w:charSpace="0"/>
        </w:sectPr>
      </w:pPr>
    </w:p>
    <w:p w14:paraId="4D1D307B">
      <w:pPr>
        <w:pStyle w:val="20"/>
        <w:spacing w:line="560" w:lineRule="exact"/>
        <w:ind w:firstLine="0" w:firstLineChars="0"/>
        <w:rPr>
          <w:rFonts w:hint="eastAsia" w:ascii="宋体" w:hAnsi="宋体" w:eastAsia="宋体" w:cs="宋体"/>
        </w:rPr>
      </w:pPr>
      <w:r>
        <w:rPr>
          <w:rFonts w:hint="eastAsia" w:ascii="宋体" w:hAnsi="宋体" w:eastAsia="宋体" w:cs="宋体"/>
        </w:rPr>
        <w:t>附表1</w:t>
      </w:r>
    </w:p>
    <w:p w14:paraId="73D9ACD5">
      <w:pPr>
        <w:jc w:val="center"/>
        <w:rPr>
          <w:sz w:val="30"/>
          <w:szCs w:val="30"/>
        </w:rPr>
      </w:pPr>
      <w:r>
        <w:rPr>
          <w:rFonts w:hint="eastAsia"/>
          <w:sz w:val="30"/>
          <w:szCs w:val="30"/>
        </w:rPr>
        <w:t>许可规则中对人员的要求（电梯）</w:t>
      </w:r>
    </w:p>
    <w:tbl>
      <w:tblPr>
        <w:tblStyle w:val="15"/>
        <w:tblW w:w="13433" w:type="dxa"/>
        <w:tblInd w:w="-1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959"/>
        <w:gridCol w:w="851"/>
        <w:gridCol w:w="1984"/>
        <w:gridCol w:w="3260"/>
        <w:gridCol w:w="3119"/>
        <w:gridCol w:w="3260"/>
      </w:tblGrid>
      <w:tr w14:paraId="337602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1" w:hRule="atLeast"/>
        </w:trPr>
        <w:tc>
          <w:tcPr>
            <w:tcW w:w="959" w:type="dxa"/>
            <w:vAlign w:val="center"/>
          </w:tcPr>
          <w:p w14:paraId="00C85288">
            <w:pPr>
              <w:adjustRightInd w:val="0"/>
              <w:snapToGrid w:val="0"/>
              <w:jc w:val="center"/>
              <w:rPr>
                <w:b/>
                <w:bCs/>
                <w:sz w:val="18"/>
                <w:szCs w:val="18"/>
              </w:rPr>
            </w:pPr>
            <w:bookmarkStart w:id="0" w:name="OLE_LINK3"/>
            <w:r>
              <w:rPr>
                <w:rFonts w:hint="eastAsia" w:ascii="宋体" w:hAnsi="宋体" w:eastAsia="宋体"/>
                <w:b/>
                <w:bCs/>
                <w:sz w:val="18"/>
                <w:szCs w:val="18"/>
              </w:rPr>
              <w:t>许可项目</w:t>
            </w:r>
          </w:p>
        </w:tc>
        <w:tc>
          <w:tcPr>
            <w:tcW w:w="2835" w:type="dxa"/>
            <w:gridSpan w:val="2"/>
            <w:tcMar>
              <w:top w:w="15" w:type="dxa"/>
              <w:left w:w="108" w:type="dxa"/>
              <w:bottom w:w="0" w:type="dxa"/>
              <w:right w:w="108" w:type="dxa"/>
            </w:tcMar>
            <w:vAlign w:val="center"/>
          </w:tcPr>
          <w:p w14:paraId="2012D54B">
            <w:pPr>
              <w:adjustRightInd w:val="0"/>
              <w:snapToGrid w:val="0"/>
              <w:jc w:val="center"/>
              <w:rPr>
                <w:b/>
                <w:bCs/>
                <w:sz w:val="18"/>
                <w:szCs w:val="18"/>
              </w:rPr>
            </w:pPr>
            <w:r>
              <w:rPr>
                <w:b/>
                <w:bCs/>
                <w:sz w:val="18"/>
                <w:szCs w:val="18"/>
              </w:rPr>
              <w:t>关键岗位</w:t>
            </w:r>
          </w:p>
        </w:tc>
        <w:tc>
          <w:tcPr>
            <w:tcW w:w="3260" w:type="dxa"/>
            <w:tcMar>
              <w:top w:w="15" w:type="dxa"/>
              <w:left w:w="108" w:type="dxa"/>
              <w:bottom w:w="0" w:type="dxa"/>
              <w:right w:w="108" w:type="dxa"/>
            </w:tcMar>
            <w:vAlign w:val="center"/>
          </w:tcPr>
          <w:p w14:paraId="0D8D6655">
            <w:pPr>
              <w:adjustRightInd w:val="0"/>
              <w:snapToGrid w:val="0"/>
              <w:jc w:val="center"/>
              <w:rPr>
                <w:b/>
                <w:bCs/>
                <w:sz w:val="18"/>
                <w:szCs w:val="18"/>
              </w:rPr>
            </w:pPr>
            <w:r>
              <w:rPr>
                <w:b/>
                <w:bCs/>
                <w:sz w:val="18"/>
                <w:szCs w:val="18"/>
              </w:rPr>
              <w:t>曳引驱动乘客电梯（含消防员电梯）（A1）</w:t>
            </w:r>
          </w:p>
        </w:tc>
        <w:tc>
          <w:tcPr>
            <w:tcW w:w="3119" w:type="dxa"/>
            <w:tcMar>
              <w:top w:w="15" w:type="dxa"/>
              <w:left w:w="108" w:type="dxa"/>
              <w:bottom w:w="0" w:type="dxa"/>
              <w:right w:w="108" w:type="dxa"/>
            </w:tcMar>
            <w:vAlign w:val="center"/>
          </w:tcPr>
          <w:p w14:paraId="049B7FD2">
            <w:pPr>
              <w:adjustRightInd w:val="0"/>
              <w:snapToGrid w:val="0"/>
              <w:jc w:val="center"/>
              <w:rPr>
                <w:b/>
                <w:bCs/>
                <w:sz w:val="18"/>
                <w:szCs w:val="18"/>
              </w:rPr>
            </w:pPr>
            <w:r>
              <w:rPr>
                <w:b/>
                <w:bCs/>
                <w:sz w:val="18"/>
                <w:szCs w:val="18"/>
              </w:rPr>
              <w:t>曳引驱动乘客电梯（含消防员电梯）（A2）</w:t>
            </w:r>
          </w:p>
        </w:tc>
        <w:tc>
          <w:tcPr>
            <w:tcW w:w="3260" w:type="dxa"/>
            <w:tcMar>
              <w:top w:w="15" w:type="dxa"/>
              <w:left w:w="108" w:type="dxa"/>
              <w:bottom w:w="0" w:type="dxa"/>
              <w:right w:w="108" w:type="dxa"/>
            </w:tcMar>
          </w:tcPr>
          <w:p w14:paraId="5C834835">
            <w:pPr>
              <w:adjustRightInd w:val="0"/>
              <w:snapToGrid w:val="0"/>
              <w:jc w:val="center"/>
              <w:rPr>
                <w:b/>
                <w:bCs/>
                <w:sz w:val="18"/>
                <w:szCs w:val="18"/>
              </w:rPr>
            </w:pPr>
            <w:r>
              <w:rPr>
                <w:b/>
                <w:bCs/>
                <w:sz w:val="18"/>
                <w:szCs w:val="18"/>
              </w:rPr>
              <w:t>曳引驱动乘客电梯(含消防员电梯)（B）、曳引驱动载货电梯和强制驱动载货电梯(含防爆电梯中的载货电梯)、自动扶梯和自动人行道、液压驱动电梯、杂物电梯(含防爆电梯中的杂物电梯)</w:t>
            </w:r>
          </w:p>
        </w:tc>
      </w:tr>
      <w:tr w14:paraId="6F0282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3" w:hRule="atLeast"/>
        </w:trPr>
        <w:tc>
          <w:tcPr>
            <w:tcW w:w="959" w:type="dxa"/>
            <w:vMerge w:val="restart"/>
            <w:vAlign w:val="center"/>
          </w:tcPr>
          <w:p w14:paraId="513EE75E">
            <w:pPr>
              <w:adjustRightInd w:val="0"/>
              <w:snapToGrid w:val="0"/>
              <w:jc w:val="center"/>
              <w:rPr>
                <w:sz w:val="18"/>
                <w:szCs w:val="18"/>
              </w:rPr>
            </w:pPr>
            <w:r>
              <w:rPr>
                <w:rFonts w:hint="eastAsia" w:ascii="宋体" w:hAnsi="宋体" w:eastAsia="宋体"/>
                <w:sz w:val="18"/>
                <w:szCs w:val="18"/>
              </w:rPr>
              <w:t>电梯安装(含修理)</w:t>
            </w:r>
          </w:p>
        </w:tc>
        <w:tc>
          <w:tcPr>
            <w:tcW w:w="2835" w:type="dxa"/>
            <w:gridSpan w:val="2"/>
            <w:tcMar>
              <w:top w:w="15" w:type="dxa"/>
              <w:left w:w="108" w:type="dxa"/>
              <w:bottom w:w="0" w:type="dxa"/>
              <w:right w:w="108" w:type="dxa"/>
            </w:tcMar>
            <w:vAlign w:val="center"/>
          </w:tcPr>
          <w:p w14:paraId="753EEB9E">
            <w:pPr>
              <w:adjustRightInd w:val="0"/>
              <w:snapToGrid w:val="0"/>
              <w:jc w:val="left"/>
              <w:rPr>
                <w:sz w:val="18"/>
                <w:szCs w:val="18"/>
              </w:rPr>
            </w:pPr>
            <w:r>
              <w:rPr>
                <w:sz w:val="18"/>
                <w:szCs w:val="18"/>
              </w:rPr>
              <w:t>1.技术负责人</w:t>
            </w:r>
          </w:p>
          <w:p w14:paraId="09E210E0">
            <w:pPr>
              <w:adjustRightInd w:val="0"/>
              <w:snapToGrid w:val="0"/>
              <w:jc w:val="left"/>
              <w:rPr>
                <w:sz w:val="18"/>
                <w:szCs w:val="18"/>
              </w:rPr>
            </w:pPr>
            <w:r>
              <w:rPr>
                <w:sz w:val="18"/>
                <w:szCs w:val="18"/>
              </w:rPr>
              <w:t>其职称或者学历是机械、电气类相关专业。</w:t>
            </w:r>
          </w:p>
        </w:tc>
        <w:tc>
          <w:tcPr>
            <w:tcW w:w="3260" w:type="dxa"/>
            <w:tcMar>
              <w:top w:w="15" w:type="dxa"/>
              <w:left w:w="108" w:type="dxa"/>
              <w:bottom w:w="0" w:type="dxa"/>
              <w:right w:w="108" w:type="dxa"/>
            </w:tcMar>
            <w:vAlign w:val="center"/>
          </w:tcPr>
          <w:p w14:paraId="40AE1A3F">
            <w:pPr>
              <w:adjustRightInd w:val="0"/>
              <w:snapToGrid w:val="0"/>
              <w:jc w:val="center"/>
              <w:rPr>
                <w:sz w:val="18"/>
                <w:szCs w:val="18"/>
              </w:rPr>
            </w:pPr>
            <w:r>
              <w:rPr>
                <w:sz w:val="18"/>
                <w:szCs w:val="18"/>
              </w:rPr>
              <w:t>具有高级工程师职称</w:t>
            </w:r>
          </w:p>
        </w:tc>
        <w:tc>
          <w:tcPr>
            <w:tcW w:w="3119" w:type="dxa"/>
            <w:tcMar>
              <w:top w:w="15" w:type="dxa"/>
              <w:left w:w="108" w:type="dxa"/>
              <w:bottom w:w="0" w:type="dxa"/>
              <w:right w:w="108" w:type="dxa"/>
            </w:tcMar>
            <w:vAlign w:val="center"/>
          </w:tcPr>
          <w:p w14:paraId="7231B78E">
            <w:pPr>
              <w:adjustRightInd w:val="0"/>
              <w:snapToGrid w:val="0"/>
              <w:jc w:val="center"/>
              <w:rPr>
                <w:sz w:val="18"/>
                <w:szCs w:val="18"/>
              </w:rPr>
            </w:pPr>
            <w:r>
              <w:rPr>
                <w:sz w:val="18"/>
                <w:szCs w:val="18"/>
              </w:rPr>
              <w:t>具有高级工程师职称</w:t>
            </w:r>
          </w:p>
        </w:tc>
        <w:tc>
          <w:tcPr>
            <w:tcW w:w="3260" w:type="dxa"/>
            <w:tcMar>
              <w:top w:w="15" w:type="dxa"/>
              <w:left w:w="108" w:type="dxa"/>
              <w:bottom w:w="0" w:type="dxa"/>
              <w:right w:w="108" w:type="dxa"/>
            </w:tcMar>
            <w:vAlign w:val="center"/>
          </w:tcPr>
          <w:p w14:paraId="785BA62A">
            <w:pPr>
              <w:adjustRightInd w:val="0"/>
              <w:snapToGrid w:val="0"/>
              <w:jc w:val="center"/>
              <w:rPr>
                <w:sz w:val="18"/>
                <w:szCs w:val="18"/>
              </w:rPr>
            </w:pPr>
            <w:r>
              <w:rPr>
                <w:sz w:val="18"/>
                <w:szCs w:val="18"/>
              </w:rPr>
              <w:t>具有工程师职称</w:t>
            </w:r>
          </w:p>
        </w:tc>
      </w:tr>
      <w:tr w14:paraId="3B4896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959" w:type="dxa"/>
            <w:vMerge w:val="continue"/>
          </w:tcPr>
          <w:p w14:paraId="4E567D30">
            <w:pPr>
              <w:adjustRightInd w:val="0"/>
              <w:snapToGrid w:val="0"/>
              <w:jc w:val="center"/>
              <w:rPr>
                <w:sz w:val="18"/>
                <w:szCs w:val="18"/>
              </w:rPr>
            </w:pPr>
          </w:p>
        </w:tc>
        <w:tc>
          <w:tcPr>
            <w:tcW w:w="851" w:type="dxa"/>
            <w:vMerge w:val="restart"/>
            <w:tcMar>
              <w:top w:w="15" w:type="dxa"/>
              <w:left w:w="108" w:type="dxa"/>
              <w:bottom w:w="0" w:type="dxa"/>
              <w:right w:w="108" w:type="dxa"/>
            </w:tcMar>
            <w:vAlign w:val="center"/>
          </w:tcPr>
          <w:p w14:paraId="670D75EC">
            <w:pPr>
              <w:adjustRightInd w:val="0"/>
              <w:snapToGrid w:val="0"/>
              <w:jc w:val="center"/>
              <w:rPr>
                <w:sz w:val="18"/>
                <w:szCs w:val="18"/>
              </w:rPr>
            </w:pPr>
            <w:r>
              <w:rPr>
                <w:sz w:val="18"/>
                <w:szCs w:val="18"/>
              </w:rPr>
              <w:t>2.质量保证体系人员</w:t>
            </w:r>
          </w:p>
        </w:tc>
        <w:tc>
          <w:tcPr>
            <w:tcW w:w="1984" w:type="dxa"/>
            <w:tcMar>
              <w:top w:w="15" w:type="dxa"/>
              <w:left w:w="108" w:type="dxa"/>
              <w:bottom w:w="0" w:type="dxa"/>
              <w:right w:w="108" w:type="dxa"/>
            </w:tcMar>
            <w:vAlign w:val="center"/>
          </w:tcPr>
          <w:p w14:paraId="0A71D6A0">
            <w:pPr>
              <w:adjustRightInd w:val="0"/>
              <w:snapToGrid w:val="0"/>
              <w:jc w:val="left"/>
              <w:rPr>
                <w:sz w:val="18"/>
                <w:szCs w:val="18"/>
              </w:rPr>
            </w:pPr>
            <w:r>
              <w:rPr>
                <w:sz w:val="18"/>
                <w:szCs w:val="18"/>
              </w:rPr>
              <w:t>1）质量保证工程师</w:t>
            </w:r>
          </w:p>
          <w:p w14:paraId="4C435D37">
            <w:pPr>
              <w:adjustRightInd w:val="0"/>
              <w:snapToGrid w:val="0"/>
              <w:jc w:val="left"/>
              <w:rPr>
                <w:sz w:val="18"/>
                <w:szCs w:val="18"/>
              </w:rPr>
            </w:pPr>
            <w:r>
              <w:rPr>
                <w:rFonts w:hint="eastAsia"/>
                <w:sz w:val="18"/>
                <w:szCs w:val="18"/>
              </w:rPr>
              <w:t>理工类专业</w:t>
            </w:r>
          </w:p>
        </w:tc>
        <w:tc>
          <w:tcPr>
            <w:tcW w:w="3260" w:type="dxa"/>
            <w:tcMar>
              <w:top w:w="15" w:type="dxa"/>
              <w:left w:w="108" w:type="dxa"/>
              <w:bottom w:w="0" w:type="dxa"/>
              <w:right w:w="108" w:type="dxa"/>
            </w:tcMar>
            <w:vAlign w:val="center"/>
          </w:tcPr>
          <w:p w14:paraId="4F5BDD72">
            <w:pPr>
              <w:adjustRightInd w:val="0"/>
              <w:snapToGrid w:val="0"/>
              <w:jc w:val="center"/>
              <w:rPr>
                <w:sz w:val="18"/>
                <w:szCs w:val="18"/>
              </w:rPr>
            </w:pPr>
            <w:r>
              <w:rPr>
                <w:sz w:val="18"/>
                <w:szCs w:val="18"/>
              </w:rPr>
              <w:t>具有工程师职称</w:t>
            </w:r>
          </w:p>
        </w:tc>
        <w:tc>
          <w:tcPr>
            <w:tcW w:w="3119" w:type="dxa"/>
            <w:tcMar>
              <w:top w:w="15" w:type="dxa"/>
              <w:left w:w="108" w:type="dxa"/>
              <w:bottom w:w="0" w:type="dxa"/>
              <w:right w:w="108" w:type="dxa"/>
            </w:tcMar>
            <w:vAlign w:val="center"/>
          </w:tcPr>
          <w:p w14:paraId="124B4FC9">
            <w:pPr>
              <w:adjustRightInd w:val="0"/>
              <w:snapToGrid w:val="0"/>
              <w:jc w:val="center"/>
              <w:rPr>
                <w:sz w:val="18"/>
                <w:szCs w:val="18"/>
              </w:rPr>
            </w:pPr>
            <w:r>
              <w:rPr>
                <w:sz w:val="18"/>
                <w:szCs w:val="18"/>
              </w:rPr>
              <w:t>具有工程师职称</w:t>
            </w:r>
          </w:p>
        </w:tc>
        <w:tc>
          <w:tcPr>
            <w:tcW w:w="3260" w:type="dxa"/>
            <w:tcMar>
              <w:top w:w="15" w:type="dxa"/>
              <w:left w:w="108" w:type="dxa"/>
              <w:bottom w:w="0" w:type="dxa"/>
              <w:right w:w="108" w:type="dxa"/>
            </w:tcMar>
            <w:vAlign w:val="center"/>
          </w:tcPr>
          <w:p w14:paraId="6E407EAD">
            <w:pPr>
              <w:adjustRightInd w:val="0"/>
              <w:snapToGrid w:val="0"/>
              <w:jc w:val="center"/>
              <w:rPr>
                <w:sz w:val="18"/>
                <w:szCs w:val="18"/>
              </w:rPr>
            </w:pPr>
            <w:r>
              <w:rPr>
                <w:sz w:val="18"/>
                <w:szCs w:val="18"/>
              </w:rPr>
              <w:t>具有工程师职称</w:t>
            </w:r>
          </w:p>
        </w:tc>
      </w:tr>
      <w:tr w14:paraId="622C18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959" w:type="dxa"/>
            <w:vMerge w:val="continue"/>
          </w:tcPr>
          <w:p w14:paraId="6AC57C9C">
            <w:pPr>
              <w:adjustRightInd w:val="0"/>
              <w:snapToGrid w:val="0"/>
              <w:jc w:val="center"/>
              <w:rPr>
                <w:sz w:val="18"/>
                <w:szCs w:val="18"/>
              </w:rPr>
            </w:pPr>
          </w:p>
        </w:tc>
        <w:tc>
          <w:tcPr>
            <w:tcW w:w="851" w:type="dxa"/>
            <w:vMerge w:val="continue"/>
            <w:vAlign w:val="center"/>
          </w:tcPr>
          <w:p w14:paraId="354A6C80">
            <w:pPr>
              <w:adjustRightInd w:val="0"/>
              <w:snapToGrid w:val="0"/>
              <w:jc w:val="center"/>
              <w:rPr>
                <w:sz w:val="18"/>
                <w:szCs w:val="18"/>
              </w:rPr>
            </w:pPr>
          </w:p>
        </w:tc>
        <w:tc>
          <w:tcPr>
            <w:tcW w:w="1984" w:type="dxa"/>
            <w:tcMar>
              <w:top w:w="15" w:type="dxa"/>
              <w:left w:w="108" w:type="dxa"/>
              <w:bottom w:w="0" w:type="dxa"/>
              <w:right w:w="108" w:type="dxa"/>
            </w:tcMar>
            <w:vAlign w:val="center"/>
          </w:tcPr>
          <w:p w14:paraId="03313FD9">
            <w:pPr>
              <w:adjustRightInd w:val="0"/>
              <w:snapToGrid w:val="0"/>
              <w:jc w:val="left"/>
              <w:rPr>
                <w:sz w:val="18"/>
                <w:szCs w:val="18"/>
              </w:rPr>
            </w:pPr>
            <w:r>
              <w:rPr>
                <w:sz w:val="18"/>
                <w:szCs w:val="18"/>
              </w:rPr>
              <w:t>2）设计质量控制系统责任人员</w:t>
            </w:r>
            <w:r>
              <w:rPr>
                <w:rFonts w:hint="eastAsia"/>
                <w:sz w:val="18"/>
                <w:szCs w:val="18"/>
              </w:rPr>
              <w:t>，</w:t>
            </w:r>
            <w:r>
              <w:rPr>
                <w:rFonts w:ascii="宋体" w:hAnsi="宋体" w:eastAsia="宋体"/>
                <w:sz w:val="18"/>
                <w:szCs w:val="18"/>
              </w:rPr>
              <w:t>其职称或者学历是机械、电气类相关专业。</w:t>
            </w:r>
          </w:p>
        </w:tc>
        <w:tc>
          <w:tcPr>
            <w:tcW w:w="3260" w:type="dxa"/>
            <w:tcMar>
              <w:top w:w="15" w:type="dxa"/>
              <w:left w:w="108" w:type="dxa"/>
              <w:bottom w:w="0" w:type="dxa"/>
              <w:right w:w="108" w:type="dxa"/>
            </w:tcMar>
            <w:vAlign w:val="center"/>
          </w:tcPr>
          <w:p w14:paraId="136B170A">
            <w:pPr>
              <w:adjustRightInd w:val="0"/>
              <w:snapToGrid w:val="0"/>
              <w:jc w:val="center"/>
              <w:rPr>
                <w:sz w:val="18"/>
                <w:szCs w:val="18"/>
              </w:rPr>
            </w:pPr>
            <w:r>
              <w:rPr>
                <w:sz w:val="18"/>
                <w:szCs w:val="18"/>
              </w:rPr>
              <w:t>具有工程师职称</w:t>
            </w:r>
          </w:p>
        </w:tc>
        <w:tc>
          <w:tcPr>
            <w:tcW w:w="3119" w:type="dxa"/>
            <w:tcMar>
              <w:top w:w="15" w:type="dxa"/>
              <w:left w:w="108" w:type="dxa"/>
              <w:bottom w:w="0" w:type="dxa"/>
              <w:right w:w="108" w:type="dxa"/>
            </w:tcMar>
            <w:vAlign w:val="center"/>
          </w:tcPr>
          <w:p w14:paraId="0E5F9EC0">
            <w:pPr>
              <w:adjustRightInd w:val="0"/>
              <w:snapToGrid w:val="0"/>
              <w:jc w:val="center"/>
              <w:rPr>
                <w:sz w:val="18"/>
                <w:szCs w:val="18"/>
              </w:rPr>
            </w:pPr>
            <w:r>
              <w:rPr>
                <w:sz w:val="18"/>
                <w:szCs w:val="18"/>
              </w:rPr>
              <w:t>具有工程师职称</w:t>
            </w:r>
          </w:p>
        </w:tc>
        <w:tc>
          <w:tcPr>
            <w:tcW w:w="3260" w:type="dxa"/>
            <w:tcMar>
              <w:top w:w="15" w:type="dxa"/>
              <w:left w:w="108" w:type="dxa"/>
              <w:bottom w:w="0" w:type="dxa"/>
              <w:right w:w="108" w:type="dxa"/>
            </w:tcMar>
            <w:vAlign w:val="center"/>
          </w:tcPr>
          <w:p w14:paraId="0559D424">
            <w:pPr>
              <w:adjustRightInd w:val="0"/>
              <w:snapToGrid w:val="0"/>
              <w:jc w:val="center"/>
              <w:rPr>
                <w:sz w:val="18"/>
                <w:szCs w:val="18"/>
              </w:rPr>
            </w:pPr>
            <w:r>
              <w:rPr>
                <w:sz w:val="18"/>
                <w:szCs w:val="18"/>
              </w:rPr>
              <w:t>具有工程师职称</w:t>
            </w:r>
          </w:p>
        </w:tc>
      </w:tr>
      <w:tr w14:paraId="2EAA8E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5" w:hRule="atLeast"/>
        </w:trPr>
        <w:tc>
          <w:tcPr>
            <w:tcW w:w="959" w:type="dxa"/>
            <w:vMerge w:val="continue"/>
          </w:tcPr>
          <w:p w14:paraId="50C36B98">
            <w:pPr>
              <w:adjustRightInd w:val="0"/>
              <w:snapToGrid w:val="0"/>
              <w:jc w:val="center"/>
              <w:rPr>
                <w:sz w:val="18"/>
                <w:szCs w:val="18"/>
              </w:rPr>
            </w:pPr>
          </w:p>
        </w:tc>
        <w:tc>
          <w:tcPr>
            <w:tcW w:w="851" w:type="dxa"/>
            <w:vMerge w:val="continue"/>
            <w:vAlign w:val="center"/>
          </w:tcPr>
          <w:p w14:paraId="740389B8">
            <w:pPr>
              <w:adjustRightInd w:val="0"/>
              <w:snapToGrid w:val="0"/>
              <w:jc w:val="center"/>
              <w:rPr>
                <w:sz w:val="18"/>
                <w:szCs w:val="18"/>
              </w:rPr>
            </w:pPr>
          </w:p>
        </w:tc>
        <w:tc>
          <w:tcPr>
            <w:tcW w:w="1984" w:type="dxa"/>
            <w:tcMar>
              <w:top w:w="15" w:type="dxa"/>
              <w:left w:w="108" w:type="dxa"/>
              <w:bottom w:w="0" w:type="dxa"/>
              <w:right w:w="108" w:type="dxa"/>
            </w:tcMar>
            <w:vAlign w:val="center"/>
          </w:tcPr>
          <w:p w14:paraId="46C76070">
            <w:pPr>
              <w:adjustRightInd w:val="0"/>
              <w:snapToGrid w:val="0"/>
              <w:jc w:val="left"/>
              <w:rPr>
                <w:sz w:val="18"/>
                <w:szCs w:val="18"/>
              </w:rPr>
            </w:pPr>
            <w:r>
              <w:rPr>
                <w:sz w:val="18"/>
                <w:szCs w:val="18"/>
              </w:rPr>
              <w:t>3）工艺、/ 焊接、检验与试验、现场施工质量控制系统责任人员</w:t>
            </w:r>
            <w:r>
              <w:rPr>
                <w:rFonts w:hint="eastAsia"/>
                <w:sz w:val="18"/>
                <w:szCs w:val="18"/>
              </w:rPr>
              <w:t>，</w:t>
            </w:r>
            <w:r>
              <w:rPr>
                <w:rFonts w:ascii="宋体" w:hAnsi="宋体" w:eastAsia="宋体"/>
                <w:sz w:val="18"/>
                <w:szCs w:val="18"/>
              </w:rPr>
              <w:t>其职称或者学历是机械、电气类相关专业。</w:t>
            </w:r>
          </w:p>
        </w:tc>
        <w:tc>
          <w:tcPr>
            <w:tcW w:w="3260" w:type="dxa"/>
            <w:tcMar>
              <w:top w:w="15" w:type="dxa"/>
              <w:left w:w="108" w:type="dxa"/>
              <w:bottom w:w="0" w:type="dxa"/>
              <w:right w:w="108" w:type="dxa"/>
            </w:tcMar>
            <w:vAlign w:val="center"/>
          </w:tcPr>
          <w:p w14:paraId="69CB879F">
            <w:pPr>
              <w:adjustRightInd w:val="0"/>
              <w:snapToGrid w:val="0"/>
              <w:jc w:val="left"/>
              <w:rPr>
                <w:sz w:val="18"/>
                <w:szCs w:val="18"/>
              </w:rPr>
            </w:pPr>
            <w:r>
              <w:rPr>
                <w:sz w:val="18"/>
                <w:szCs w:val="18"/>
              </w:rPr>
              <w:t>工艺、焊接、检验与试验、现场施工质量控制系统责任人员，具有工程师职称。</w:t>
            </w:r>
          </w:p>
        </w:tc>
        <w:tc>
          <w:tcPr>
            <w:tcW w:w="3119" w:type="dxa"/>
            <w:tcMar>
              <w:top w:w="15" w:type="dxa"/>
              <w:left w:w="108" w:type="dxa"/>
              <w:bottom w:w="0" w:type="dxa"/>
              <w:right w:w="108" w:type="dxa"/>
            </w:tcMar>
            <w:vAlign w:val="center"/>
          </w:tcPr>
          <w:p w14:paraId="401EBDEC">
            <w:pPr>
              <w:adjustRightInd w:val="0"/>
              <w:snapToGrid w:val="0"/>
              <w:jc w:val="left"/>
              <w:rPr>
                <w:sz w:val="18"/>
                <w:szCs w:val="18"/>
              </w:rPr>
            </w:pPr>
            <w:r>
              <w:rPr>
                <w:sz w:val="18"/>
                <w:szCs w:val="18"/>
              </w:rPr>
              <w:t>工艺与焊接、检验与试验、现场施工质量控制系统责任人员，具有助理工程师职称。</w:t>
            </w:r>
          </w:p>
        </w:tc>
        <w:tc>
          <w:tcPr>
            <w:tcW w:w="3260" w:type="dxa"/>
            <w:tcMar>
              <w:top w:w="15" w:type="dxa"/>
              <w:left w:w="108" w:type="dxa"/>
              <w:bottom w:w="0" w:type="dxa"/>
              <w:right w:w="108" w:type="dxa"/>
            </w:tcMar>
            <w:vAlign w:val="center"/>
          </w:tcPr>
          <w:p w14:paraId="7668D46F">
            <w:pPr>
              <w:adjustRightInd w:val="0"/>
              <w:snapToGrid w:val="0"/>
              <w:jc w:val="left"/>
              <w:rPr>
                <w:sz w:val="18"/>
                <w:szCs w:val="18"/>
              </w:rPr>
            </w:pPr>
            <w:r>
              <w:rPr>
                <w:sz w:val="18"/>
                <w:szCs w:val="18"/>
              </w:rPr>
              <w:t>工艺与焊接、检验与试验、现场施工质量控制系统责任人员，具有助理工程师职称。</w:t>
            </w:r>
          </w:p>
        </w:tc>
      </w:tr>
      <w:tr w14:paraId="4A6057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trPr>
        <w:tc>
          <w:tcPr>
            <w:tcW w:w="959" w:type="dxa"/>
            <w:vMerge w:val="continue"/>
          </w:tcPr>
          <w:p w14:paraId="60176501">
            <w:pPr>
              <w:adjustRightInd w:val="0"/>
              <w:snapToGrid w:val="0"/>
              <w:jc w:val="center"/>
              <w:rPr>
                <w:sz w:val="18"/>
                <w:szCs w:val="18"/>
              </w:rPr>
            </w:pPr>
          </w:p>
        </w:tc>
        <w:tc>
          <w:tcPr>
            <w:tcW w:w="2835" w:type="dxa"/>
            <w:gridSpan w:val="2"/>
            <w:tcMar>
              <w:top w:w="15" w:type="dxa"/>
              <w:left w:w="108" w:type="dxa"/>
              <w:bottom w:w="0" w:type="dxa"/>
              <w:right w:w="108" w:type="dxa"/>
            </w:tcMar>
            <w:vAlign w:val="center"/>
          </w:tcPr>
          <w:p w14:paraId="7C8AB59F">
            <w:pPr>
              <w:adjustRightInd w:val="0"/>
              <w:snapToGrid w:val="0"/>
              <w:rPr>
                <w:sz w:val="18"/>
                <w:szCs w:val="18"/>
              </w:rPr>
            </w:pPr>
            <w:r>
              <w:rPr>
                <w:sz w:val="18"/>
                <w:szCs w:val="18"/>
              </w:rPr>
              <w:t>3.技术人员</w:t>
            </w:r>
          </w:p>
          <w:p w14:paraId="706681EE">
            <w:pPr>
              <w:adjustRightInd w:val="0"/>
              <w:snapToGrid w:val="0"/>
              <w:rPr>
                <w:sz w:val="18"/>
                <w:szCs w:val="18"/>
              </w:rPr>
            </w:pPr>
            <w:r>
              <w:rPr>
                <w:sz w:val="18"/>
                <w:szCs w:val="18"/>
              </w:rPr>
              <w:t>其职称或者学历是机械、电气类相关专业。</w:t>
            </w:r>
          </w:p>
        </w:tc>
        <w:tc>
          <w:tcPr>
            <w:tcW w:w="3260" w:type="dxa"/>
            <w:tcMar>
              <w:top w:w="15" w:type="dxa"/>
              <w:left w:w="108" w:type="dxa"/>
              <w:bottom w:w="0" w:type="dxa"/>
              <w:right w:w="108" w:type="dxa"/>
            </w:tcMar>
            <w:vAlign w:val="center"/>
          </w:tcPr>
          <w:p w14:paraId="27937A54">
            <w:pPr>
              <w:adjustRightInd w:val="0"/>
              <w:snapToGrid w:val="0"/>
              <w:rPr>
                <w:sz w:val="18"/>
                <w:szCs w:val="18"/>
              </w:rPr>
            </w:pPr>
            <w:r>
              <w:rPr>
                <w:sz w:val="18"/>
                <w:szCs w:val="18"/>
              </w:rPr>
              <w:t>除技术负责人、质量保证体系人员外，技术人员不少于6人，其中具有高级工程师职称的人员至少1</w:t>
            </w:r>
            <w:r>
              <w:rPr>
                <w:rFonts w:hint="eastAsia"/>
                <w:sz w:val="18"/>
                <w:szCs w:val="18"/>
              </w:rPr>
              <w:t>人</w:t>
            </w:r>
            <w:r>
              <w:rPr>
                <w:sz w:val="18"/>
                <w:szCs w:val="18"/>
              </w:rPr>
              <w:t>，具有工程师职称的人员不少于2人</w:t>
            </w:r>
            <w:r>
              <w:rPr>
                <w:rFonts w:hint="eastAsia"/>
                <w:sz w:val="18"/>
                <w:szCs w:val="18"/>
              </w:rPr>
              <w:t>。</w:t>
            </w:r>
          </w:p>
        </w:tc>
        <w:tc>
          <w:tcPr>
            <w:tcW w:w="3119" w:type="dxa"/>
            <w:tcMar>
              <w:top w:w="15" w:type="dxa"/>
              <w:left w:w="108" w:type="dxa"/>
              <w:bottom w:w="0" w:type="dxa"/>
              <w:right w:w="108" w:type="dxa"/>
            </w:tcMar>
            <w:vAlign w:val="center"/>
          </w:tcPr>
          <w:p w14:paraId="5FC8AD86">
            <w:pPr>
              <w:adjustRightInd w:val="0"/>
              <w:snapToGrid w:val="0"/>
              <w:rPr>
                <w:sz w:val="18"/>
                <w:szCs w:val="18"/>
              </w:rPr>
            </w:pPr>
            <w:r>
              <w:rPr>
                <w:sz w:val="18"/>
                <w:szCs w:val="18"/>
              </w:rPr>
              <w:t>除技术负责人、质量保证体系人员外，技术人员不少于4人，其中具有工程师职称的人员不少于2人。</w:t>
            </w:r>
          </w:p>
        </w:tc>
        <w:tc>
          <w:tcPr>
            <w:tcW w:w="3260" w:type="dxa"/>
            <w:tcMar>
              <w:top w:w="15" w:type="dxa"/>
              <w:left w:w="108" w:type="dxa"/>
              <w:bottom w:w="0" w:type="dxa"/>
              <w:right w:w="108" w:type="dxa"/>
            </w:tcMar>
            <w:vAlign w:val="center"/>
          </w:tcPr>
          <w:p w14:paraId="30B5D2AF">
            <w:pPr>
              <w:adjustRightInd w:val="0"/>
              <w:snapToGrid w:val="0"/>
              <w:rPr>
                <w:sz w:val="18"/>
                <w:szCs w:val="18"/>
              </w:rPr>
            </w:pPr>
            <w:r>
              <w:rPr>
                <w:sz w:val="18"/>
                <w:szCs w:val="18"/>
              </w:rPr>
              <w:t>除技术负责人、质量保证体系人员外，技术人员不少于2人，其中具有工程师职称的人员不少于1人。</w:t>
            </w:r>
          </w:p>
        </w:tc>
      </w:tr>
      <w:tr w14:paraId="1DA7E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959" w:type="dxa"/>
            <w:vMerge w:val="continue"/>
          </w:tcPr>
          <w:p w14:paraId="6D120702">
            <w:pPr>
              <w:adjustRightInd w:val="0"/>
              <w:snapToGrid w:val="0"/>
              <w:jc w:val="center"/>
              <w:rPr>
                <w:sz w:val="18"/>
                <w:szCs w:val="18"/>
              </w:rPr>
            </w:pPr>
          </w:p>
        </w:tc>
        <w:tc>
          <w:tcPr>
            <w:tcW w:w="2835" w:type="dxa"/>
            <w:gridSpan w:val="2"/>
            <w:tcMar>
              <w:top w:w="15" w:type="dxa"/>
              <w:left w:w="108" w:type="dxa"/>
              <w:bottom w:w="0" w:type="dxa"/>
              <w:right w:w="108" w:type="dxa"/>
            </w:tcMar>
            <w:vAlign w:val="center"/>
          </w:tcPr>
          <w:p w14:paraId="67A3B768">
            <w:pPr>
              <w:adjustRightInd w:val="0"/>
              <w:snapToGrid w:val="0"/>
              <w:rPr>
                <w:sz w:val="18"/>
                <w:szCs w:val="18"/>
              </w:rPr>
            </w:pPr>
            <w:r>
              <w:rPr>
                <w:sz w:val="18"/>
                <w:szCs w:val="18"/>
              </w:rPr>
              <w:t>4.质量检验人员</w:t>
            </w:r>
          </w:p>
          <w:p w14:paraId="0EC00F57">
            <w:pPr>
              <w:adjustRightInd w:val="0"/>
              <w:snapToGrid w:val="0"/>
              <w:rPr>
                <w:sz w:val="18"/>
                <w:szCs w:val="18"/>
              </w:rPr>
            </w:pPr>
            <w:r>
              <w:rPr>
                <w:sz w:val="18"/>
                <w:szCs w:val="18"/>
              </w:rPr>
              <w:t>由技术人员或者持有电梯修理作业资格证的人员担任。</w:t>
            </w:r>
          </w:p>
        </w:tc>
        <w:tc>
          <w:tcPr>
            <w:tcW w:w="3260" w:type="dxa"/>
            <w:tcMar>
              <w:top w:w="15" w:type="dxa"/>
              <w:left w:w="108" w:type="dxa"/>
              <w:bottom w:w="0" w:type="dxa"/>
              <w:right w:w="108" w:type="dxa"/>
            </w:tcMar>
            <w:vAlign w:val="center"/>
          </w:tcPr>
          <w:p w14:paraId="79192810">
            <w:pPr>
              <w:adjustRightInd w:val="0"/>
              <w:snapToGrid w:val="0"/>
              <w:rPr>
                <w:sz w:val="18"/>
                <w:szCs w:val="18"/>
              </w:rPr>
            </w:pPr>
            <w:r>
              <w:rPr>
                <w:sz w:val="18"/>
                <w:szCs w:val="18"/>
              </w:rPr>
              <w:t>现场安装和修理过程检验、验收检验的质量检验人员不少于6人</w:t>
            </w:r>
            <w:r>
              <w:rPr>
                <w:rFonts w:hint="eastAsia"/>
                <w:sz w:val="18"/>
                <w:szCs w:val="18"/>
              </w:rPr>
              <w:t>。</w:t>
            </w:r>
          </w:p>
        </w:tc>
        <w:tc>
          <w:tcPr>
            <w:tcW w:w="3119" w:type="dxa"/>
            <w:tcMar>
              <w:top w:w="15" w:type="dxa"/>
              <w:left w:w="108" w:type="dxa"/>
              <w:bottom w:w="0" w:type="dxa"/>
              <w:right w:w="108" w:type="dxa"/>
            </w:tcMar>
            <w:vAlign w:val="center"/>
          </w:tcPr>
          <w:p w14:paraId="5522D523">
            <w:pPr>
              <w:adjustRightInd w:val="0"/>
              <w:snapToGrid w:val="0"/>
              <w:rPr>
                <w:sz w:val="18"/>
                <w:szCs w:val="18"/>
              </w:rPr>
            </w:pPr>
            <w:r>
              <w:rPr>
                <w:sz w:val="18"/>
                <w:szCs w:val="18"/>
              </w:rPr>
              <w:t>现场施工过程检验、验收检验的专职质量检验人员不少于4人。</w:t>
            </w:r>
          </w:p>
        </w:tc>
        <w:tc>
          <w:tcPr>
            <w:tcW w:w="3260" w:type="dxa"/>
            <w:tcMar>
              <w:top w:w="15" w:type="dxa"/>
              <w:left w:w="108" w:type="dxa"/>
              <w:bottom w:w="0" w:type="dxa"/>
              <w:right w:w="108" w:type="dxa"/>
            </w:tcMar>
            <w:vAlign w:val="center"/>
          </w:tcPr>
          <w:p w14:paraId="34578C23">
            <w:pPr>
              <w:adjustRightInd w:val="0"/>
              <w:snapToGrid w:val="0"/>
              <w:rPr>
                <w:sz w:val="18"/>
                <w:szCs w:val="18"/>
              </w:rPr>
            </w:pPr>
            <w:r>
              <w:rPr>
                <w:sz w:val="18"/>
                <w:szCs w:val="18"/>
              </w:rPr>
              <w:t>现场施工过程检验、验收检验的专职质量检验人员不少于3人。</w:t>
            </w:r>
          </w:p>
        </w:tc>
      </w:tr>
      <w:tr w14:paraId="5FCF7C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959" w:type="dxa"/>
            <w:vMerge w:val="continue"/>
          </w:tcPr>
          <w:p w14:paraId="4E696840">
            <w:pPr>
              <w:adjustRightInd w:val="0"/>
              <w:snapToGrid w:val="0"/>
              <w:jc w:val="center"/>
              <w:rPr>
                <w:sz w:val="18"/>
                <w:szCs w:val="18"/>
              </w:rPr>
            </w:pPr>
          </w:p>
        </w:tc>
        <w:tc>
          <w:tcPr>
            <w:tcW w:w="2835" w:type="dxa"/>
            <w:gridSpan w:val="2"/>
            <w:tcMar>
              <w:top w:w="15" w:type="dxa"/>
              <w:left w:w="108" w:type="dxa"/>
              <w:bottom w:w="0" w:type="dxa"/>
              <w:right w:w="108" w:type="dxa"/>
            </w:tcMar>
            <w:vAlign w:val="center"/>
          </w:tcPr>
          <w:p w14:paraId="3CD13DA9">
            <w:pPr>
              <w:adjustRightInd w:val="0"/>
              <w:snapToGrid w:val="0"/>
              <w:rPr>
                <w:sz w:val="18"/>
                <w:szCs w:val="18"/>
              </w:rPr>
            </w:pPr>
            <w:r>
              <w:rPr>
                <w:sz w:val="18"/>
                <w:szCs w:val="18"/>
              </w:rPr>
              <w:t>5.项目负责人</w:t>
            </w:r>
          </w:p>
        </w:tc>
        <w:tc>
          <w:tcPr>
            <w:tcW w:w="3260" w:type="dxa"/>
            <w:tcMar>
              <w:top w:w="15" w:type="dxa"/>
              <w:left w:w="108" w:type="dxa"/>
              <w:bottom w:w="0" w:type="dxa"/>
              <w:right w:w="108" w:type="dxa"/>
            </w:tcMar>
            <w:vAlign w:val="center"/>
          </w:tcPr>
          <w:p w14:paraId="42375123">
            <w:pPr>
              <w:adjustRightInd w:val="0"/>
              <w:snapToGrid w:val="0"/>
              <w:rPr>
                <w:sz w:val="18"/>
                <w:szCs w:val="18"/>
              </w:rPr>
            </w:pPr>
            <w:r>
              <w:rPr>
                <w:sz w:val="18"/>
                <w:szCs w:val="18"/>
              </w:rPr>
              <w:t>由技术人员担任。</w:t>
            </w:r>
          </w:p>
        </w:tc>
        <w:tc>
          <w:tcPr>
            <w:tcW w:w="3119" w:type="dxa"/>
            <w:tcMar>
              <w:top w:w="15" w:type="dxa"/>
              <w:left w:w="108" w:type="dxa"/>
              <w:bottom w:w="0" w:type="dxa"/>
              <w:right w:w="108" w:type="dxa"/>
            </w:tcMar>
            <w:vAlign w:val="center"/>
          </w:tcPr>
          <w:p w14:paraId="5F309643">
            <w:pPr>
              <w:adjustRightInd w:val="0"/>
              <w:snapToGrid w:val="0"/>
              <w:rPr>
                <w:sz w:val="18"/>
                <w:szCs w:val="18"/>
              </w:rPr>
            </w:pPr>
            <w:r>
              <w:rPr>
                <w:sz w:val="18"/>
                <w:szCs w:val="18"/>
              </w:rPr>
              <w:t>由技术人员担任。</w:t>
            </w:r>
          </w:p>
        </w:tc>
        <w:tc>
          <w:tcPr>
            <w:tcW w:w="3260" w:type="dxa"/>
            <w:tcMar>
              <w:top w:w="15" w:type="dxa"/>
              <w:left w:w="108" w:type="dxa"/>
              <w:bottom w:w="0" w:type="dxa"/>
              <w:right w:w="108" w:type="dxa"/>
            </w:tcMar>
            <w:vAlign w:val="center"/>
          </w:tcPr>
          <w:p w14:paraId="66016D6B">
            <w:pPr>
              <w:adjustRightInd w:val="0"/>
              <w:snapToGrid w:val="0"/>
              <w:rPr>
                <w:sz w:val="18"/>
                <w:szCs w:val="18"/>
              </w:rPr>
            </w:pPr>
            <w:r>
              <w:rPr>
                <w:sz w:val="18"/>
                <w:szCs w:val="18"/>
              </w:rPr>
              <w:t>由技术人员担任。</w:t>
            </w:r>
          </w:p>
        </w:tc>
      </w:tr>
      <w:tr w14:paraId="03CF29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5" w:hRule="atLeast"/>
        </w:trPr>
        <w:tc>
          <w:tcPr>
            <w:tcW w:w="959" w:type="dxa"/>
            <w:vMerge w:val="continue"/>
          </w:tcPr>
          <w:p w14:paraId="35FAA497">
            <w:pPr>
              <w:adjustRightInd w:val="0"/>
              <w:snapToGrid w:val="0"/>
              <w:jc w:val="center"/>
              <w:rPr>
                <w:sz w:val="18"/>
                <w:szCs w:val="18"/>
              </w:rPr>
            </w:pPr>
          </w:p>
        </w:tc>
        <w:tc>
          <w:tcPr>
            <w:tcW w:w="2835" w:type="dxa"/>
            <w:gridSpan w:val="2"/>
            <w:tcMar>
              <w:top w:w="15" w:type="dxa"/>
              <w:left w:w="108" w:type="dxa"/>
              <w:bottom w:w="0" w:type="dxa"/>
              <w:right w:w="108" w:type="dxa"/>
            </w:tcMar>
            <w:vAlign w:val="center"/>
          </w:tcPr>
          <w:p w14:paraId="6B8914E9">
            <w:pPr>
              <w:adjustRightInd w:val="0"/>
              <w:snapToGrid w:val="0"/>
              <w:rPr>
                <w:sz w:val="18"/>
                <w:szCs w:val="18"/>
              </w:rPr>
            </w:pPr>
            <w:r>
              <w:rPr>
                <w:sz w:val="18"/>
                <w:szCs w:val="18"/>
              </w:rPr>
              <w:t>6.作业人员</w:t>
            </w:r>
          </w:p>
        </w:tc>
        <w:tc>
          <w:tcPr>
            <w:tcW w:w="3260" w:type="dxa"/>
            <w:tcMar>
              <w:top w:w="15" w:type="dxa"/>
              <w:left w:w="108" w:type="dxa"/>
              <w:bottom w:w="0" w:type="dxa"/>
              <w:right w:w="108" w:type="dxa"/>
            </w:tcMar>
            <w:vAlign w:val="center"/>
          </w:tcPr>
          <w:p w14:paraId="04F4299B">
            <w:pPr>
              <w:adjustRightInd w:val="0"/>
              <w:snapToGrid w:val="0"/>
              <w:jc w:val="left"/>
              <w:rPr>
                <w:sz w:val="18"/>
                <w:szCs w:val="18"/>
              </w:rPr>
            </w:pPr>
            <w:r>
              <w:rPr>
                <w:sz w:val="18"/>
                <w:szCs w:val="18"/>
              </w:rPr>
              <w:t>持电梯修理作业资格证书的人员不少于35人，其中持电梯修理作业资格证6年以上或者取得电梯中级技工职业资格证的技术工人不少于8人。</w:t>
            </w:r>
          </w:p>
        </w:tc>
        <w:tc>
          <w:tcPr>
            <w:tcW w:w="3119" w:type="dxa"/>
            <w:tcMar>
              <w:top w:w="15" w:type="dxa"/>
              <w:left w:w="108" w:type="dxa"/>
              <w:bottom w:w="0" w:type="dxa"/>
              <w:right w:w="108" w:type="dxa"/>
            </w:tcMar>
          </w:tcPr>
          <w:p w14:paraId="25ECD5A2">
            <w:pPr>
              <w:adjustRightInd w:val="0"/>
              <w:snapToGrid w:val="0"/>
              <w:jc w:val="left"/>
              <w:rPr>
                <w:sz w:val="18"/>
                <w:szCs w:val="18"/>
              </w:rPr>
            </w:pPr>
            <w:r>
              <w:rPr>
                <w:sz w:val="18"/>
                <w:szCs w:val="18"/>
              </w:rPr>
              <w:t>持电梯修理作业资格证书的人员不少于20人，其中持电梯修理作业资格证6年以上或者取得电梯中级技工职业资格证的技术工人不少于5人。</w:t>
            </w:r>
          </w:p>
        </w:tc>
        <w:tc>
          <w:tcPr>
            <w:tcW w:w="3260" w:type="dxa"/>
            <w:tcMar>
              <w:top w:w="15" w:type="dxa"/>
              <w:left w:w="108" w:type="dxa"/>
              <w:bottom w:w="0" w:type="dxa"/>
              <w:right w:w="108" w:type="dxa"/>
            </w:tcMar>
            <w:vAlign w:val="center"/>
          </w:tcPr>
          <w:p w14:paraId="09CC75C8">
            <w:pPr>
              <w:adjustRightInd w:val="0"/>
              <w:snapToGrid w:val="0"/>
              <w:jc w:val="left"/>
              <w:rPr>
                <w:sz w:val="18"/>
                <w:szCs w:val="18"/>
              </w:rPr>
            </w:pPr>
            <w:r>
              <w:rPr>
                <w:sz w:val="18"/>
                <w:szCs w:val="18"/>
              </w:rPr>
              <w:t>持电梯修理作业资格证书的人员不少于10人，其中持电梯修理作业资格证6年以上或者取得电梯中级技工职业资格证的技术工人不少于2人。</w:t>
            </w:r>
          </w:p>
        </w:tc>
      </w:tr>
      <w:bookmarkEnd w:id="0"/>
    </w:tbl>
    <w:p w14:paraId="3D79493B">
      <w:pPr>
        <w:jc w:val="center"/>
      </w:pPr>
    </w:p>
    <w:tbl>
      <w:tblPr>
        <w:tblStyle w:val="15"/>
        <w:tblW w:w="1420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957"/>
        <w:gridCol w:w="849"/>
        <w:gridCol w:w="1984"/>
        <w:gridCol w:w="2693"/>
        <w:gridCol w:w="2693"/>
        <w:gridCol w:w="2698"/>
        <w:gridCol w:w="2329"/>
      </w:tblGrid>
      <w:tr w14:paraId="621E10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1" w:hRule="atLeast"/>
          <w:jc w:val="center"/>
        </w:trPr>
        <w:tc>
          <w:tcPr>
            <w:tcW w:w="957" w:type="dxa"/>
            <w:vAlign w:val="center"/>
          </w:tcPr>
          <w:p w14:paraId="70FB3BD1">
            <w:pPr>
              <w:adjustRightInd w:val="0"/>
              <w:snapToGrid w:val="0"/>
              <w:jc w:val="center"/>
              <w:rPr>
                <w:b/>
                <w:bCs/>
                <w:sz w:val="18"/>
                <w:szCs w:val="18"/>
              </w:rPr>
            </w:pPr>
            <w:r>
              <w:rPr>
                <w:rFonts w:hint="eastAsia" w:ascii="宋体" w:hAnsi="宋体" w:eastAsia="宋体"/>
                <w:b/>
                <w:bCs/>
                <w:sz w:val="18"/>
                <w:szCs w:val="18"/>
              </w:rPr>
              <w:t>许可项目</w:t>
            </w:r>
          </w:p>
        </w:tc>
        <w:tc>
          <w:tcPr>
            <w:tcW w:w="2833" w:type="dxa"/>
            <w:gridSpan w:val="2"/>
            <w:tcMar>
              <w:top w:w="15" w:type="dxa"/>
              <w:left w:w="108" w:type="dxa"/>
              <w:bottom w:w="0" w:type="dxa"/>
              <w:right w:w="108" w:type="dxa"/>
            </w:tcMar>
            <w:vAlign w:val="center"/>
          </w:tcPr>
          <w:p w14:paraId="7132A387">
            <w:pPr>
              <w:adjustRightInd w:val="0"/>
              <w:snapToGrid w:val="0"/>
              <w:jc w:val="center"/>
              <w:rPr>
                <w:b/>
                <w:bCs/>
                <w:sz w:val="18"/>
                <w:szCs w:val="18"/>
              </w:rPr>
            </w:pPr>
            <w:r>
              <w:rPr>
                <w:b/>
                <w:bCs/>
                <w:sz w:val="18"/>
                <w:szCs w:val="18"/>
              </w:rPr>
              <w:t>关键岗位</w:t>
            </w:r>
          </w:p>
        </w:tc>
        <w:tc>
          <w:tcPr>
            <w:tcW w:w="2693" w:type="dxa"/>
            <w:tcMar>
              <w:top w:w="15" w:type="dxa"/>
              <w:left w:w="108" w:type="dxa"/>
              <w:bottom w:w="0" w:type="dxa"/>
              <w:right w:w="108" w:type="dxa"/>
            </w:tcMar>
            <w:vAlign w:val="center"/>
          </w:tcPr>
          <w:p w14:paraId="3EB873BF">
            <w:pPr>
              <w:adjustRightInd w:val="0"/>
              <w:snapToGrid w:val="0"/>
              <w:jc w:val="center"/>
              <w:rPr>
                <w:b/>
                <w:bCs/>
                <w:sz w:val="18"/>
                <w:szCs w:val="18"/>
              </w:rPr>
            </w:pPr>
            <w:r>
              <w:rPr>
                <w:b/>
                <w:bCs/>
                <w:sz w:val="18"/>
                <w:szCs w:val="18"/>
              </w:rPr>
              <w:t>曳引驱动乘客电梯（含消防员电梯）（A1）</w:t>
            </w:r>
          </w:p>
        </w:tc>
        <w:tc>
          <w:tcPr>
            <w:tcW w:w="2693" w:type="dxa"/>
            <w:tcMar>
              <w:top w:w="15" w:type="dxa"/>
              <w:left w:w="108" w:type="dxa"/>
              <w:bottom w:w="0" w:type="dxa"/>
              <w:right w:w="108" w:type="dxa"/>
            </w:tcMar>
            <w:vAlign w:val="center"/>
          </w:tcPr>
          <w:p w14:paraId="453D2A0C">
            <w:pPr>
              <w:adjustRightInd w:val="0"/>
              <w:snapToGrid w:val="0"/>
              <w:jc w:val="center"/>
              <w:rPr>
                <w:b/>
                <w:bCs/>
                <w:sz w:val="18"/>
                <w:szCs w:val="18"/>
              </w:rPr>
            </w:pPr>
            <w:r>
              <w:rPr>
                <w:b/>
                <w:bCs/>
                <w:sz w:val="18"/>
                <w:szCs w:val="18"/>
              </w:rPr>
              <w:t>曳引驱动乘客电梯（含消防员电梯）（A2）</w:t>
            </w:r>
          </w:p>
        </w:tc>
        <w:tc>
          <w:tcPr>
            <w:tcW w:w="2698" w:type="dxa"/>
            <w:tcMar>
              <w:top w:w="15" w:type="dxa"/>
              <w:left w:w="108" w:type="dxa"/>
              <w:bottom w:w="0" w:type="dxa"/>
              <w:right w:w="108" w:type="dxa"/>
            </w:tcMar>
          </w:tcPr>
          <w:p w14:paraId="5682E906">
            <w:pPr>
              <w:adjustRightInd w:val="0"/>
              <w:snapToGrid w:val="0"/>
              <w:jc w:val="center"/>
              <w:rPr>
                <w:b/>
                <w:bCs/>
                <w:sz w:val="18"/>
                <w:szCs w:val="18"/>
              </w:rPr>
            </w:pPr>
            <w:r>
              <w:rPr>
                <w:b/>
                <w:bCs/>
                <w:sz w:val="18"/>
                <w:szCs w:val="18"/>
              </w:rPr>
              <w:t>曳引驱动乘客电梯(含消防员电梯)（B）、曳引驱动载货电梯和强制驱动载货电梯(含防爆电梯中的载货电梯)、自动扶梯和自动人行道、液压驱动电梯</w:t>
            </w:r>
          </w:p>
        </w:tc>
        <w:tc>
          <w:tcPr>
            <w:tcW w:w="2329" w:type="dxa"/>
            <w:vAlign w:val="center"/>
          </w:tcPr>
          <w:p w14:paraId="77325CC6">
            <w:pPr>
              <w:adjustRightInd w:val="0"/>
              <w:snapToGrid w:val="0"/>
              <w:jc w:val="center"/>
              <w:rPr>
                <w:b/>
                <w:bCs/>
                <w:sz w:val="18"/>
                <w:szCs w:val="18"/>
              </w:rPr>
            </w:pPr>
            <w:r>
              <w:rPr>
                <w:b/>
                <w:bCs/>
                <w:sz w:val="18"/>
                <w:szCs w:val="18"/>
              </w:rPr>
              <w:t>杂物电梯(含防爆电梯中的杂物电梯)</w:t>
            </w:r>
          </w:p>
        </w:tc>
      </w:tr>
      <w:tr w14:paraId="2BCAC6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jc w:val="center"/>
        </w:trPr>
        <w:tc>
          <w:tcPr>
            <w:tcW w:w="957" w:type="dxa"/>
            <w:vMerge w:val="restart"/>
            <w:vAlign w:val="center"/>
          </w:tcPr>
          <w:p w14:paraId="36740ED4">
            <w:pPr>
              <w:adjustRightInd w:val="0"/>
              <w:snapToGrid w:val="0"/>
              <w:jc w:val="center"/>
              <w:rPr>
                <w:sz w:val="18"/>
                <w:szCs w:val="18"/>
              </w:rPr>
            </w:pPr>
            <w:r>
              <w:rPr>
                <w:rFonts w:ascii="宋体" w:hAnsi="宋体" w:eastAsia="宋体"/>
                <w:sz w:val="18"/>
                <w:szCs w:val="18"/>
              </w:rPr>
              <w:t>电梯制造(含安装、修理、改造）</w:t>
            </w:r>
          </w:p>
        </w:tc>
        <w:tc>
          <w:tcPr>
            <w:tcW w:w="2833" w:type="dxa"/>
            <w:gridSpan w:val="2"/>
            <w:tcMar>
              <w:top w:w="15" w:type="dxa"/>
              <w:left w:w="108" w:type="dxa"/>
              <w:bottom w:w="0" w:type="dxa"/>
              <w:right w:w="108" w:type="dxa"/>
            </w:tcMar>
            <w:vAlign w:val="center"/>
          </w:tcPr>
          <w:p w14:paraId="1D69A665">
            <w:pPr>
              <w:adjustRightInd w:val="0"/>
              <w:snapToGrid w:val="0"/>
              <w:jc w:val="left"/>
              <w:rPr>
                <w:sz w:val="18"/>
                <w:szCs w:val="18"/>
              </w:rPr>
            </w:pPr>
            <w:r>
              <w:rPr>
                <w:sz w:val="18"/>
                <w:szCs w:val="18"/>
              </w:rPr>
              <w:t>1.技术负责人</w:t>
            </w:r>
            <w:r>
              <w:rPr>
                <w:rFonts w:hint="eastAsia"/>
                <w:sz w:val="18"/>
                <w:szCs w:val="18"/>
              </w:rPr>
              <w:t>，</w:t>
            </w:r>
            <w:r>
              <w:rPr>
                <w:sz w:val="18"/>
                <w:szCs w:val="18"/>
              </w:rPr>
              <w:t>其职称或者学历是机械、电气类相关专业。</w:t>
            </w:r>
          </w:p>
        </w:tc>
        <w:tc>
          <w:tcPr>
            <w:tcW w:w="2693" w:type="dxa"/>
            <w:tcMar>
              <w:top w:w="15" w:type="dxa"/>
              <w:left w:w="108" w:type="dxa"/>
              <w:bottom w:w="0" w:type="dxa"/>
              <w:right w:w="108" w:type="dxa"/>
            </w:tcMar>
            <w:vAlign w:val="center"/>
          </w:tcPr>
          <w:p w14:paraId="79214030">
            <w:pPr>
              <w:adjustRightInd w:val="0"/>
              <w:snapToGrid w:val="0"/>
              <w:jc w:val="center"/>
              <w:rPr>
                <w:sz w:val="18"/>
                <w:szCs w:val="18"/>
              </w:rPr>
            </w:pPr>
            <w:r>
              <w:rPr>
                <w:sz w:val="18"/>
                <w:szCs w:val="18"/>
              </w:rPr>
              <w:t>具有高级工程师职称</w:t>
            </w:r>
          </w:p>
        </w:tc>
        <w:tc>
          <w:tcPr>
            <w:tcW w:w="2693" w:type="dxa"/>
            <w:vAlign w:val="center"/>
          </w:tcPr>
          <w:p w14:paraId="0BA866EE">
            <w:pPr>
              <w:adjustRightInd w:val="0"/>
              <w:snapToGrid w:val="0"/>
              <w:jc w:val="center"/>
              <w:rPr>
                <w:sz w:val="18"/>
                <w:szCs w:val="18"/>
              </w:rPr>
            </w:pPr>
            <w:r>
              <w:rPr>
                <w:sz w:val="18"/>
                <w:szCs w:val="18"/>
              </w:rPr>
              <w:t>具有高级工程师职称</w:t>
            </w:r>
          </w:p>
        </w:tc>
        <w:tc>
          <w:tcPr>
            <w:tcW w:w="2698" w:type="dxa"/>
            <w:vAlign w:val="center"/>
          </w:tcPr>
          <w:p w14:paraId="568164BE">
            <w:pPr>
              <w:adjustRightInd w:val="0"/>
              <w:snapToGrid w:val="0"/>
              <w:jc w:val="center"/>
              <w:rPr>
                <w:sz w:val="18"/>
                <w:szCs w:val="18"/>
              </w:rPr>
            </w:pPr>
            <w:r>
              <w:rPr>
                <w:sz w:val="18"/>
                <w:szCs w:val="18"/>
              </w:rPr>
              <w:t>具有高级工程师职称</w:t>
            </w:r>
          </w:p>
        </w:tc>
        <w:tc>
          <w:tcPr>
            <w:tcW w:w="2329" w:type="dxa"/>
            <w:vAlign w:val="center"/>
          </w:tcPr>
          <w:p w14:paraId="3D02B446">
            <w:pPr>
              <w:adjustRightInd w:val="0"/>
              <w:snapToGrid w:val="0"/>
              <w:jc w:val="center"/>
              <w:rPr>
                <w:sz w:val="18"/>
                <w:szCs w:val="18"/>
              </w:rPr>
            </w:pPr>
            <w:r>
              <w:rPr>
                <w:sz w:val="18"/>
                <w:szCs w:val="18"/>
              </w:rPr>
              <w:t>具有工程师职称</w:t>
            </w:r>
          </w:p>
        </w:tc>
      </w:tr>
      <w:tr w14:paraId="246BF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957" w:type="dxa"/>
            <w:vMerge w:val="continue"/>
          </w:tcPr>
          <w:p w14:paraId="1D39C3D3">
            <w:pPr>
              <w:adjustRightInd w:val="0"/>
              <w:snapToGrid w:val="0"/>
              <w:jc w:val="center"/>
              <w:rPr>
                <w:sz w:val="18"/>
                <w:szCs w:val="18"/>
              </w:rPr>
            </w:pPr>
          </w:p>
        </w:tc>
        <w:tc>
          <w:tcPr>
            <w:tcW w:w="849" w:type="dxa"/>
            <w:vMerge w:val="restart"/>
            <w:tcMar>
              <w:top w:w="15" w:type="dxa"/>
              <w:left w:w="108" w:type="dxa"/>
              <w:bottom w:w="0" w:type="dxa"/>
              <w:right w:w="108" w:type="dxa"/>
            </w:tcMar>
            <w:vAlign w:val="center"/>
          </w:tcPr>
          <w:p w14:paraId="4C1A3A36">
            <w:pPr>
              <w:adjustRightInd w:val="0"/>
              <w:snapToGrid w:val="0"/>
              <w:jc w:val="center"/>
              <w:rPr>
                <w:sz w:val="18"/>
                <w:szCs w:val="18"/>
              </w:rPr>
            </w:pPr>
            <w:r>
              <w:rPr>
                <w:sz w:val="18"/>
                <w:szCs w:val="18"/>
              </w:rPr>
              <w:t>2.质量保证体系人员</w:t>
            </w:r>
          </w:p>
        </w:tc>
        <w:tc>
          <w:tcPr>
            <w:tcW w:w="1984" w:type="dxa"/>
            <w:tcMar>
              <w:top w:w="15" w:type="dxa"/>
              <w:left w:w="108" w:type="dxa"/>
              <w:bottom w:w="0" w:type="dxa"/>
              <w:right w:w="108" w:type="dxa"/>
            </w:tcMar>
            <w:vAlign w:val="center"/>
          </w:tcPr>
          <w:p w14:paraId="25380B2D">
            <w:pPr>
              <w:adjustRightInd w:val="0"/>
              <w:snapToGrid w:val="0"/>
              <w:jc w:val="left"/>
              <w:rPr>
                <w:sz w:val="18"/>
                <w:szCs w:val="18"/>
              </w:rPr>
            </w:pPr>
            <w:r>
              <w:rPr>
                <w:sz w:val="18"/>
                <w:szCs w:val="18"/>
              </w:rPr>
              <w:t>1）质量保证工程师</w:t>
            </w:r>
            <w:r>
              <w:rPr>
                <w:rFonts w:hint="eastAsia"/>
                <w:sz w:val="18"/>
                <w:szCs w:val="18"/>
              </w:rPr>
              <w:t>，理工类专业</w:t>
            </w:r>
          </w:p>
        </w:tc>
        <w:tc>
          <w:tcPr>
            <w:tcW w:w="2693" w:type="dxa"/>
            <w:tcMar>
              <w:top w:w="15" w:type="dxa"/>
              <w:left w:w="108" w:type="dxa"/>
              <w:bottom w:w="0" w:type="dxa"/>
              <w:right w:w="108" w:type="dxa"/>
            </w:tcMar>
            <w:vAlign w:val="center"/>
          </w:tcPr>
          <w:p w14:paraId="721183DA">
            <w:pPr>
              <w:adjustRightInd w:val="0"/>
              <w:snapToGrid w:val="0"/>
              <w:jc w:val="center"/>
              <w:rPr>
                <w:sz w:val="18"/>
                <w:szCs w:val="18"/>
              </w:rPr>
            </w:pPr>
            <w:r>
              <w:rPr>
                <w:sz w:val="18"/>
                <w:szCs w:val="18"/>
              </w:rPr>
              <w:t>具有工程师职称</w:t>
            </w:r>
          </w:p>
        </w:tc>
        <w:tc>
          <w:tcPr>
            <w:tcW w:w="2693" w:type="dxa"/>
            <w:tcMar>
              <w:top w:w="15" w:type="dxa"/>
              <w:left w:w="108" w:type="dxa"/>
              <w:bottom w:w="0" w:type="dxa"/>
              <w:right w:w="108" w:type="dxa"/>
            </w:tcMar>
            <w:vAlign w:val="center"/>
          </w:tcPr>
          <w:p w14:paraId="24FC3F7A">
            <w:pPr>
              <w:adjustRightInd w:val="0"/>
              <w:snapToGrid w:val="0"/>
              <w:jc w:val="center"/>
              <w:rPr>
                <w:sz w:val="18"/>
                <w:szCs w:val="18"/>
              </w:rPr>
            </w:pPr>
            <w:r>
              <w:rPr>
                <w:sz w:val="18"/>
                <w:szCs w:val="18"/>
              </w:rPr>
              <w:t>具有工程师职称</w:t>
            </w:r>
          </w:p>
        </w:tc>
        <w:tc>
          <w:tcPr>
            <w:tcW w:w="2698" w:type="dxa"/>
            <w:tcMar>
              <w:top w:w="15" w:type="dxa"/>
              <w:left w:w="108" w:type="dxa"/>
              <w:bottom w:w="0" w:type="dxa"/>
              <w:right w:w="108" w:type="dxa"/>
            </w:tcMar>
            <w:vAlign w:val="center"/>
          </w:tcPr>
          <w:p w14:paraId="7C1BF9C4">
            <w:pPr>
              <w:adjustRightInd w:val="0"/>
              <w:snapToGrid w:val="0"/>
              <w:jc w:val="center"/>
              <w:rPr>
                <w:sz w:val="18"/>
                <w:szCs w:val="18"/>
              </w:rPr>
            </w:pPr>
            <w:bookmarkStart w:id="1" w:name="OLE_LINK4"/>
            <w:r>
              <w:rPr>
                <w:sz w:val="18"/>
                <w:szCs w:val="18"/>
              </w:rPr>
              <w:t>具有工程师职称</w:t>
            </w:r>
            <w:bookmarkEnd w:id="1"/>
          </w:p>
        </w:tc>
        <w:tc>
          <w:tcPr>
            <w:tcW w:w="2329" w:type="dxa"/>
            <w:vAlign w:val="center"/>
          </w:tcPr>
          <w:p w14:paraId="5849DB39">
            <w:pPr>
              <w:adjustRightInd w:val="0"/>
              <w:snapToGrid w:val="0"/>
              <w:jc w:val="center"/>
              <w:rPr>
                <w:sz w:val="18"/>
                <w:szCs w:val="18"/>
              </w:rPr>
            </w:pPr>
            <w:r>
              <w:rPr>
                <w:sz w:val="18"/>
                <w:szCs w:val="18"/>
              </w:rPr>
              <w:t>具有</w:t>
            </w:r>
            <w:r>
              <w:rPr>
                <w:rFonts w:hint="eastAsia"/>
                <w:sz w:val="18"/>
                <w:szCs w:val="18"/>
              </w:rPr>
              <w:t>助理</w:t>
            </w:r>
            <w:r>
              <w:rPr>
                <w:sz w:val="18"/>
                <w:szCs w:val="18"/>
              </w:rPr>
              <w:t>工程师职称</w:t>
            </w:r>
          </w:p>
        </w:tc>
      </w:tr>
      <w:tr w14:paraId="269C46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957" w:type="dxa"/>
            <w:vMerge w:val="continue"/>
          </w:tcPr>
          <w:p w14:paraId="5E427E52">
            <w:pPr>
              <w:adjustRightInd w:val="0"/>
              <w:snapToGrid w:val="0"/>
              <w:jc w:val="center"/>
              <w:rPr>
                <w:sz w:val="18"/>
                <w:szCs w:val="18"/>
              </w:rPr>
            </w:pPr>
          </w:p>
        </w:tc>
        <w:tc>
          <w:tcPr>
            <w:tcW w:w="849" w:type="dxa"/>
            <w:vMerge w:val="continue"/>
            <w:vAlign w:val="center"/>
          </w:tcPr>
          <w:p w14:paraId="37F4F7DE">
            <w:pPr>
              <w:adjustRightInd w:val="0"/>
              <w:snapToGrid w:val="0"/>
              <w:jc w:val="center"/>
              <w:rPr>
                <w:sz w:val="18"/>
                <w:szCs w:val="18"/>
              </w:rPr>
            </w:pPr>
          </w:p>
        </w:tc>
        <w:tc>
          <w:tcPr>
            <w:tcW w:w="1984" w:type="dxa"/>
            <w:tcMar>
              <w:top w:w="15" w:type="dxa"/>
              <w:left w:w="108" w:type="dxa"/>
              <w:bottom w:w="0" w:type="dxa"/>
              <w:right w:w="108" w:type="dxa"/>
            </w:tcMar>
            <w:vAlign w:val="center"/>
          </w:tcPr>
          <w:p w14:paraId="4BD5BE96">
            <w:pPr>
              <w:adjustRightInd w:val="0"/>
              <w:snapToGrid w:val="0"/>
              <w:jc w:val="left"/>
              <w:rPr>
                <w:sz w:val="18"/>
                <w:szCs w:val="18"/>
              </w:rPr>
            </w:pPr>
            <w:r>
              <w:rPr>
                <w:sz w:val="18"/>
                <w:szCs w:val="18"/>
              </w:rPr>
              <w:t>2）设计质量控制系统责任人员</w:t>
            </w:r>
            <w:r>
              <w:rPr>
                <w:rFonts w:hint="eastAsia"/>
                <w:sz w:val="18"/>
                <w:szCs w:val="18"/>
              </w:rPr>
              <w:t>，</w:t>
            </w:r>
            <w:r>
              <w:rPr>
                <w:rFonts w:ascii="宋体" w:hAnsi="宋体" w:eastAsia="宋体"/>
                <w:sz w:val="18"/>
                <w:szCs w:val="18"/>
              </w:rPr>
              <w:t>其职称或者学历是机械、电气类相关专业。</w:t>
            </w:r>
          </w:p>
        </w:tc>
        <w:tc>
          <w:tcPr>
            <w:tcW w:w="2693" w:type="dxa"/>
            <w:tcMar>
              <w:top w:w="15" w:type="dxa"/>
              <w:left w:w="108" w:type="dxa"/>
              <w:bottom w:w="0" w:type="dxa"/>
              <w:right w:w="108" w:type="dxa"/>
            </w:tcMar>
            <w:vAlign w:val="center"/>
          </w:tcPr>
          <w:p w14:paraId="61FD7082">
            <w:pPr>
              <w:adjustRightInd w:val="0"/>
              <w:snapToGrid w:val="0"/>
              <w:jc w:val="center"/>
              <w:rPr>
                <w:sz w:val="18"/>
                <w:szCs w:val="18"/>
              </w:rPr>
            </w:pPr>
            <w:r>
              <w:rPr>
                <w:sz w:val="18"/>
                <w:szCs w:val="18"/>
              </w:rPr>
              <w:t>具有</w:t>
            </w:r>
            <w:r>
              <w:rPr>
                <w:rFonts w:hint="eastAsia"/>
                <w:sz w:val="18"/>
                <w:szCs w:val="18"/>
              </w:rPr>
              <w:t>高级</w:t>
            </w:r>
            <w:r>
              <w:rPr>
                <w:sz w:val="18"/>
                <w:szCs w:val="18"/>
              </w:rPr>
              <w:t>工程师职称</w:t>
            </w:r>
          </w:p>
        </w:tc>
        <w:tc>
          <w:tcPr>
            <w:tcW w:w="2693" w:type="dxa"/>
            <w:tcMar>
              <w:top w:w="15" w:type="dxa"/>
              <w:left w:w="108" w:type="dxa"/>
              <w:bottom w:w="0" w:type="dxa"/>
              <w:right w:w="108" w:type="dxa"/>
            </w:tcMar>
            <w:vAlign w:val="center"/>
          </w:tcPr>
          <w:p w14:paraId="52D21A45">
            <w:pPr>
              <w:adjustRightInd w:val="0"/>
              <w:snapToGrid w:val="0"/>
              <w:jc w:val="center"/>
              <w:rPr>
                <w:sz w:val="18"/>
                <w:szCs w:val="18"/>
              </w:rPr>
            </w:pPr>
            <w:r>
              <w:rPr>
                <w:sz w:val="18"/>
                <w:szCs w:val="18"/>
              </w:rPr>
              <w:t>具有</w:t>
            </w:r>
            <w:r>
              <w:rPr>
                <w:rFonts w:hint="eastAsia"/>
                <w:sz w:val="18"/>
                <w:szCs w:val="18"/>
              </w:rPr>
              <w:t>高级</w:t>
            </w:r>
            <w:r>
              <w:rPr>
                <w:sz w:val="18"/>
                <w:szCs w:val="18"/>
              </w:rPr>
              <w:t>工程师职称</w:t>
            </w:r>
          </w:p>
        </w:tc>
        <w:tc>
          <w:tcPr>
            <w:tcW w:w="2698" w:type="dxa"/>
            <w:tcMar>
              <w:top w:w="15" w:type="dxa"/>
              <w:left w:w="108" w:type="dxa"/>
              <w:bottom w:w="0" w:type="dxa"/>
              <w:right w:w="108" w:type="dxa"/>
            </w:tcMar>
            <w:vAlign w:val="center"/>
          </w:tcPr>
          <w:p w14:paraId="6146AA3F">
            <w:pPr>
              <w:adjustRightInd w:val="0"/>
              <w:snapToGrid w:val="0"/>
              <w:jc w:val="center"/>
              <w:rPr>
                <w:sz w:val="18"/>
                <w:szCs w:val="18"/>
              </w:rPr>
            </w:pPr>
            <w:r>
              <w:rPr>
                <w:sz w:val="18"/>
                <w:szCs w:val="18"/>
              </w:rPr>
              <w:t>具有工程师职称</w:t>
            </w:r>
          </w:p>
        </w:tc>
        <w:tc>
          <w:tcPr>
            <w:tcW w:w="2329" w:type="dxa"/>
            <w:vMerge w:val="restart"/>
            <w:vAlign w:val="center"/>
          </w:tcPr>
          <w:p w14:paraId="6EFE2347">
            <w:pPr>
              <w:adjustRightInd w:val="0"/>
              <w:snapToGrid w:val="0"/>
              <w:rPr>
                <w:sz w:val="18"/>
                <w:szCs w:val="18"/>
              </w:rPr>
            </w:pPr>
            <w:r>
              <w:rPr>
                <w:sz w:val="18"/>
                <w:szCs w:val="18"/>
              </w:rPr>
              <w:t>设计与工艺</w:t>
            </w:r>
            <w:r>
              <w:rPr>
                <w:rFonts w:hint="eastAsia"/>
                <w:sz w:val="18"/>
                <w:szCs w:val="18"/>
              </w:rPr>
              <w:t>、</w:t>
            </w:r>
            <w:r>
              <w:rPr>
                <w:sz w:val="18"/>
                <w:szCs w:val="18"/>
              </w:rPr>
              <w:t>检验与试验、电控系统制作、现场施工质量控制系统责任人员，具有</w:t>
            </w:r>
            <w:r>
              <w:rPr>
                <w:rFonts w:hint="eastAsia"/>
                <w:sz w:val="18"/>
                <w:szCs w:val="18"/>
              </w:rPr>
              <w:t>助理</w:t>
            </w:r>
            <w:r>
              <w:rPr>
                <w:sz w:val="18"/>
                <w:szCs w:val="18"/>
              </w:rPr>
              <w:t>工程师职称。</w:t>
            </w:r>
          </w:p>
        </w:tc>
      </w:tr>
      <w:tr w14:paraId="2DBBD3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5" w:hRule="atLeast"/>
          <w:jc w:val="center"/>
        </w:trPr>
        <w:tc>
          <w:tcPr>
            <w:tcW w:w="957" w:type="dxa"/>
            <w:vMerge w:val="continue"/>
          </w:tcPr>
          <w:p w14:paraId="54425E14">
            <w:pPr>
              <w:adjustRightInd w:val="0"/>
              <w:snapToGrid w:val="0"/>
              <w:jc w:val="center"/>
              <w:rPr>
                <w:sz w:val="18"/>
                <w:szCs w:val="18"/>
              </w:rPr>
            </w:pPr>
          </w:p>
        </w:tc>
        <w:tc>
          <w:tcPr>
            <w:tcW w:w="849" w:type="dxa"/>
            <w:vMerge w:val="continue"/>
            <w:vAlign w:val="center"/>
          </w:tcPr>
          <w:p w14:paraId="111FF824">
            <w:pPr>
              <w:adjustRightInd w:val="0"/>
              <w:snapToGrid w:val="0"/>
              <w:jc w:val="center"/>
              <w:rPr>
                <w:sz w:val="18"/>
                <w:szCs w:val="18"/>
              </w:rPr>
            </w:pPr>
          </w:p>
        </w:tc>
        <w:tc>
          <w:tcPr>
            <w:tcW w:w="1984" w:type="dxa"/>
            <w:tcMar>
              <w:top w:w="15" w:type="dxa"/>
              <w:left w:w="108" w:type="dxa"/>
              <w:bottom w:w="0" w:type="dxa"/>
              <w:right w:w="108" w:type="dxa"/>
            </w:tcMar>
            <w:vAlign w:val="center"/>
          </w:tcPr>
          <w:p w14:paraId="127F2C83">
            <w:pPr>
              <w:adjustRightInd w:val="0"/>
              <w:snapToGrid w:val="0"/>
              <w:jc w:val="left"/>
              <w:rPr>
                <w:sz w:val="18"/>
                <w:szCs w:val="18"/>
              </w:rPr>
            </w:pPr>
            <w:r>
              <w:rPr>
                <w:sz w:val="18"/>
                <w:szCs w:val="18"/>
              </w:rPr>
              <w:t>3</w:t>
            </w:r>
            <w:r>
              <w:rPr>
                <w:spacing w:val="-4"/>
                <w:sz w:val="18"/>
                <w:szCs w:val="18"/>
              </w:rPr>
              <w:t>）工艺、</w:t>
            </w:r>
            <w:r>
              <w:rPr>
                <w:rFonts w:ascii="宋体" w:hAnsi="宋体" w:eastAsia="宋体"/>
                <w:spacing w:val="-4"/>
                <w:sz w:val="18"/>
                <w:szCs w:val="18"/>
              </w:rPr>
              <w:t>材料与零部件、</w:t>
            </w:r>
            <w:r>
              <w:rPr>
                <w:spacing w:val="-4"/>
                <w:sz w:val="18"/>
                <w:szCs w:val="18"/>
              </w:rPr>
              <w:t>焊接、</w:t>
            </w:r>
            <w:r>
              <w:rPr>
                <w:rFonts w:ascii="宋体" w:hAnsi="宋体" w:eastAsia="宋体"/>
                <w:spacing w:val="-4"/>
                <w:sz w:val="18"/>
                <w:szCs w:val="18"/>
              </w:rPr>
              <w:t>电控系统制作、</w:t>
            </w:r>
            <w:r>
              <w:rPr>
                <w:spacing w:val="-4"/>
                <w:sz w:val="18"/>
                <w:szCs w:val="18"/>
              </w:rPr>
              <w:t>检验与试验、现场施工质量控制系统责任人员</w:t>
            </w:r>
            <w:r>
              <w:rPr>
                <w:rFonts w:hint="eastAsia"/>
                <w:spacing w:val="-4"/>
                <w:sz w:val="18"/>
                <w:szCs w:val="18"/>
              </w:rPr>
              <w:t>，</w:t>
            </w:r>
            <w:r>
              <w:rPr>
                <w:rFonts w:ascii="宋体" w:hAnsi="宋体" w:eastAsia="宋体"/>
                <w:spacing w:val="-4"/>
                <w:sz w:val="18"/>
                <w:szCs w:val="18"/>
              </w:rPr>
              <w:t>其职称或者学历是机械、电气类相关专业。</w:t>
            </w:r>
          </w:p>
        </w:tc>
        <w:tc>
          <w:tcPr>
            <w:tcW w:w="2693" w:type="dxa"/>
            <w:tcMar>
              <w:top w:w="15" w:type="dxa"/>
              <w:left w:w="108" w:type="dxa"/>
              <w:bottom w:w="0" w:type="dxa"/>
              <w:right w:w="108" w:type="dxa"/>
            </w:tcMar>
            <w:vAlign w:val="center"/>
          </w:tcPr>
          <w:p w14:paraId="33DB503E">
            <w:pPr>
              <w:adjustRightInd w:val="0"/>
              <w:snapToGrid w:val="0"/>
              <w:jc w:val="left"/>
              <w:rPr>
                <w:sz w:val="18"/>
                <w:szCs w:val="18"/>
              </w:rPr>
            </w:pPr>
            <w:r>
              <w:rPr>
                <w:sz w:val="18"/>
                <w:szCs w:val="18"/>
              </w:rPr>
              <w:t>工艺、</w:t>
            </w:r>
            <w:r>
              <w:rPr>
                <w:rFonts w:ascii="宋体" w:hAnsi="宋体" w:eastAsia="宋体"/>
                <w:sz w:val="18"/>
                <w:szCs w:val="18"/>
              </w:rPr>
              <w:t>材料与零部件、</w:t>
            </w:r>
            <w:r>
              <w:rPr>
                <w:sz w:val="18"/>
                <w:szCs w:val="18"/>
              </w:rPr>
              <w:t>焊接、</w:t>
            </w:r>
            <w:r>
              <w:rPr>
                <w:rFonts w:ascii="宋体" w:hAnsi="宋体" w:eastAsia="宋体"/>
                <w:sz w:val="18"/>
                <w:szCs w:val="18"/>
              </w:rPr>
              <w:t>电控系统制作、</w:t>
            </w:r>
            <w:r>
              <w:rPr>
                <w:sz w:val="18"/>
                <w:szCs w:val="18"/>
              </w:rPr>
              <w:t>检验与试验、现场施工质量控制系统责任人员，具有工程师职称。</w:t>
            </w:r>
          </w:p>
        </w:tc>
        <w:tc>
          <w:tcPr>
            <w:tcW w:w="2693" w:type="dxa"/>
            <w:tcMar>
              <w:top w:w="15" w:type="dxa"/>
              <w:left w:w="108" w:type="dxa"/>
              <w:bottom w:w="0" w:type="dxa"/>
              <w:right w:w="108" w:type="dxa"/>
            </w:tcMar>
            <w:vAlign w:val="center"/>
          </w:tcPr>
          <w:p w14:paraId="7FA22C44">
            <w:pPr>
              <w:adjustRightInd w:val="0"/>
              <w:snapToGrid w:val="0"/>
              <w:jc w:val="left"/>
              <w:rPr>
                <w:sz w:val="18"/>
                <w:szCs w:val="18"/>
              </w:rPr>
            </w:pPr>
            <w:r>
              <w:rPr>
                <w:sz w:val="18"/>
                <w:szCs w:val="18"/>
              </w:rPr>
              <w:t>工艺、</w:t>
            </w:r>
            <w:r>
              <w:rPr>
                <w:rFonts w:ascii="宋体" w:hAnsi="宋体" w:eastAsia="宋体"/>
                <w:sz w:val="18"/>
                <w:szCs w:val="18"/>
              </w:rPr>
              <w:t>材料与零部件、</w:t>
            </w:r>
            <w:r>
              <w:rPr>
                <w:sz w:val="18"/>
                <w:szCs w:val="18"/>
              </w:rPr>
              <w:t>焊接、</w:t>
            </w:r>
            <w:r>
              <w:rPr>
                <w:rFonts w:ascii="宋体" w:hAnsi="宋体" w:eastAsia="宋体"/>
                <w:sz w:val="18"/>
                <w:szCs w:val="18"/>
              </w:rPr>
              <w:t>电控系统制作、</w:t>
            </w:r>
            <w:r>
              <w:rPr>
                <w:sz w:val="18"/>
                <w:szCs w:val="18"/>
              </w:rPr>
              <w:t>检验与试验、现场施工质量控制系统责任人员，具有工程师职称。</w:t>
            </w:r>
          </w:p>
        </w:tc>
        <w:tc>
          <w:tcPr>
            <w:tcW w:w="2698" w:type="dxa"/>
            <w:tcMar>
              <w:top w:w="15" w:type="dxa"/>
              <w:left w:w="108" w:type="dxa"/>
              <w:bottom w:w="0" w:type="dxa"/>
              <w:right w:w="108" w:type="dxa"/>
            </w:tcMar>
            <w:vAlign w:val="center"/>
          </w:tcPr>
          <w:p w14:paraId="0B89336D">
            <w:pPr>
              <w:adjustRightInd w:val="0"/>
              <w:snapToGrid w:val="0"/>
              <w:jc w:val="left"/>
              <w:rPr>
                <w:sz w:val="18"/>
                <w:szCs w:val="18"/>
              </w:rPr>
            </w:pPr>
            <w:r>
              <w:rPr>
                <w:sz w:val="18"/>
                <w:szCs w:val="18"/>
              </w:rPr>
              <w:t>工艺、</w:t>
            </w:r>
            <w:r>
              <w:rPr>
                <w:rFonts w:ascii="宋体" w:hAnsi="宋体" w:eastAsia="宋体"/>
                <w:sz w:val="18"/>
                <w:szCs w:val="18"/>
              </w:rPr>
              <w:t>材料与零部件、金属结构制作（适用于扶梯人行道）、</w:t>
            </w:r>
            <w:r>
              <w:rPr>
                <w:sz w:val="18"/>
                <w:szCs w:val="18"/>
              </w:rPr>
              <w:t>焊接、</w:t>
            </w:r>
            <w:r>
              <w:rPr>
                <w:rFonts w:ascii="宋体" w:hAnsi="宋体" w:eastAsia="宋体"/>
                <w:sz w:val="18"/>
                <w:szCs w:val="18"/>
              </w:rPr>
              <w:t>电控系统制作、</w:t>
            </w:r>
            <w:r>
              <w:rPr>
                <w:sz w:val="18"/>
                <w:szCs w:val="18"/>
              </w:rPr>
              <w:t>检验与试验、现场施工</w:t>
            </w:r>
            <w:bookmarkStart w:id="2" w:name="OLE_LINK5"/>
            <w:r>
              <w:rPr>
                <w:sz w:val="18"/>
                <w:szCs w:val="18"/>
              </w:rPr>
              <w:t>质量控制系统责任人员，具有</w:t>
            </w:r>
            <w:r>
              <w:rPr>
                <w:rFonts w:hint="eastAsia"/>
                <w:sz w:val="18"/>
                <w:szCs w:val="18"/>
              </w:rPr>
              <w:t>助理</w:t>
            </w:r>
            <w:r>
              <w:rPr>
                <w:sz w:val="18"/>
                <w:szCs w:val="18"/>
              </w:rPr>
              <w:t>工程师职称。</w:t>
            </w:r>
            <w:bookmarkEnd w:id="2"/>
          </w:p>
        </w:tc>
        <w:tc>
          <w:tcPr>
            <w:tcW w:w="2329" w:type="dxa"/>
            <w:vMerge w:val="continue"/>
          </w:tcPr>
          <w:p w14:paraId="2986A6DA">
            <w:pPr>
              <w:adjustRightInd w:val="0"/>
              <w:snapToGrid w:val="0"/>
              <w:jc w:val="left"/>
              <w:rPr>
                <w:sz w:val="18"/>
                <w:szCs w:val="18"/>
              </w:rPr>
            </w:pPr>
          </w:p>
        </w:tc>
      </w:tr>
      <w:tr w14:paraId="6971C6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6" w:hRule="atLeast"/>
          <w:jc w:val="center"/>
        </w:trPr>
        <w:tc>
          <w:tcPr>
            <w:tcW w:w="957" w:type="dxa"/>
            <w:vMerge w:val="continue"/>
          </w:tcPr>
          <w:p w14:paraId="19A4718E">
            <w:pPr>
              <w:adjustRightInd w:val="0"/>
              <w:snapToGrid w:val="0"/>
              <w:jc w:val="center"/>
              <w:rPr>
                <w:sz w:val="18"/>
                <w:szCs w:val="18"/>
              </w:rPr>
            </w:pPr>
          </w:p>
        </w:tc>
        <w:tc>
          <w:tcPr>
            <w:tcW w:w="2833" w:type="dxa"/>
            <w:gridSpan w:val="2"/>
            <w:tcMar>
              <w:top w:w="15" w:type="dxa"/>
              <w:left w:w="108" w:type="dxa"/>
              <w:bottom w:w="0" w:type="dxa"/>
              <w:right w:w="108" w:type="dxa"/>
            </w:tcMar>
            <w:vAlign w:val="center"/>
          </w:tcPr>
          <w:p w14:paraId="54A5219C">
            <w:pPr>
              <w:adjustRightInd w:val="0"/>
              <w:snapToGrid w:val="0"/>
              <w:jc w:val="left"/>
              <w:rPr>
                <w:sz w:val="18"/>
                <w:szCs w:val="18"/>
              </w:rPr>
            </w:pPr>
            <w:r>
              <w:rPr>
                <w:sz w:val="18"/>
                <w:szCs w:val="18"/>
              </w:rPr>
              <w:t>3.技术人员</w:t>
            </w:r>
          </w:p>
          <w:p w14:paraId="5E075362">
            <w:pPr>
              <w:adjustRightInd w:val="0"/>
              <w:snapToGrid w:val="0"/>
              <w:jc w:val="left"/>
              <w:rPr>
                <w:sz w:val="18"/>
                <w:szCs w:val="18"/>
              </w:rPr>
            </w:pPr>
            <w:r>
              <w:rPr>
                <w:sz w:val="18"/>
                <w:szCs w:val="18"/>
              </w:rPr>
              <w:t>其职称或者学历是机械、电气类相关专业。</w:t>
            </w:r>
          </w:p>
        </w:tc>
        <w:tc>
          <w:tcPr>
            <w:tcW w:w="2693" w:type="dxa"/>
            <w:tcMar>
              <w:top w:w="15" w:type="dxa"/>
              <w:left w:w="108" w:type="dxa"/>
              <w:bottom w:w="0" w:type="dxa"/>
              <w:right w:w="108" w:type="dxa"/>
            </w:tcMar>
            <w:vAlign w:val="center"/>
          </w:tcPr>
          <w:p w14:paraId="5A16BE27">
            <w:pPr>
              <w:adjustRightInd w:val="0"/>
              <w:snapToGrid w:val="0"/>
              <w:jc w:val="left"/>
              <w:rPr>
                <w:sz w:val="18"/>
                <w:szCs w:val="18"/>
              </w:rPr>
            </w:pPr>
            <w:r>
              <w:rPr>
                <w:sz w:val="18"/>
                <w:szCs w:val="18"/>
              </w:rPr>
              <w:t>除技术负责人、质量保证体系人员外，技术人员不少于</w:t>
            </w:r>
            <w:r>
              <w:rPr>
                <w:rFonts w:hint="eastAsia"/>
                <w:sz w:val="18"/>
                <w:szCs w:val="18"/>
              </w:rPr>
              <w:t>22</w:t>
            </w:r>
            <w:r>
              <w:rPr>
                <w:sz w:val="18"/>
                <w:szCs w:val="18"/>
              </w:rPr>
              <w:t>人，其中具有高级工程师职称的人员</w:t>
            </w:r>
            <w:r>
              <w:rPr>
                <w:rFonts w:hint="eastAsia"/>
                <w:sz w:val="18"/>
                <w:szCs w:val="18"/>
              </w:rPr>
              <w:t>不少于4人</w:t>
            </w:r>
            <w:r>
              <w:rPr>
                <w:sz w:val="18"/>
                <w:szCs w:val="18"/>
              </w:rPr>
              <w:t>，具有工程师职称的人员不少于</w:t>
            </w:r>
            <w:r>
              <w:rPr>
                <w:rFonts w:hint="eastAsia"/>
                <w:sz w:val="18"/>
                <w:szCs w:val="18"/>
              </w:rPr>
              <w:t>6</w:t>
            </w:r>
            <w:r>
              <w:rPr>
                <w:sz w:val="18"/>
                <w:szCs w:val="18"/>
              </w:rPr>
              <w:t>人</w:t>
            </w:r>
            <w:r>
              <w:rPr>
                <w:rFonts w:hint="eastAsia"/>
                <w:sz w:val="18"/>
                <w:szCs w:val="18"/>
              </w:rPr>
              <w:t>。</w:t>
            </w:r>
          </w:p>
        </w:tc>
        <w:tc>
          <w:tcPr>
            <w:tcW w:w="2693" w:type="dxa"/>
            <w:tcMar>
              <w:top w:w="15" w:type="dxa"/>
              <w:left w:w="108" w:type="dxa"/>
              <w:bottom w:w="0" w:type="dxa"/>
              <w:right w:w="108" w:type="dxa"/>
            </w:tcMar>
          </w:tcPr>
          <w:p w14:paraId="3589B90F">
            <w:pPr>
              <w:adjustRightInd w:val="0"/>
              <w:snapToGrid w:val="0"/>
              <w:jc w:val="left"/>
              <w:rPr>
                <w:sz w:val="18"/>
                <w:szCs w:val="18"/>
              </w:rPr>
            </w:pPr>
            <w:r>
              <w:rPr>
                <w:sz w:val="18"/>
                <w:szCs w:val="18"/>
              </w:rPr>
              <w:t>除技术负责人、质量保证体系人员外，技术人员不少于</w:t>
            </w:r>
            <w:r>
              <w:rPr>
                <w:rFonts w:hint="eastAsia"/>
                <w:sz w:val="18"/>
                <w:szCs w:val="18"/>
              </w:rPr>
              <w:t>12</w:t>
            </w:r>
            <w:r>
              <w:rPr>
                <w:sz w:val="18"/>
                <w:szCs w:val="18"/>
              </w:rPr>
              <w:t>人，其中具有</w:t>
            </w:r>
            <w:r>
              <w:rPr>
                <w:rFonts w:hint="eastAsia"/>
                <w:sz w:val="18"/>
                <w:szCs w:val="18"/>
              </w:rPr>
              <w:t>高级</w:t>
            </w:r>
            <w:r>
              <w:rPr>
                <w:sz w:val="18"/>
                <w:szCs w:val="18"/>
              </w:rPr>
              <w:t>工程师职称的人员</w:t>
            </w:r>
            <w:r>
              <w:rPr>
                <w:rFonts w:hint="eastAsia"/>
                <w:sz w:val="18"/>
                <w:szCs w:val="18"/>
              </w:rPr>
              <w:t>至少1人，具有工程师职称的人员</w:t>
            </w:r>
            <w:r>
              <w:rPr>
                <w:sz w:val="18"/>
                <w:szCs w:val="18"/>
              </w:rPr>
              <w:t>不少于</w:t>
            </w:r>
            <w:r>
              <w:rPr>
                <w:rFonts w:hint="eastAsia"/>
                <w:sz w:val="18"/>
                <w:szCs w:val="18"/>
              </w:rPr>
              <w:t>3</w:t>
            </w:r>
            <w:r>
              <w:rPr>
                <w:sz w:val="18"/>
                <w:szCs w:val="18"/>
              </w:rPr>
              <w:t>人</w:t>
            </w:r>
            <w:r>
              <w:rPr>
                <w:rFonts w:hint="eastAsia"/>
                <w:sz w:val="18"/>
                <w:szCs w:val="18"/>
              </w:rPr>
              <w:t>。</w:t>
            </w:r>
          </w:p>
        </w:tc>
        <w:tc>
          <w:tcPr>
            <w:tcW w:w="2698" w:type="dxa"/>
            <w:tcMar>
              <w:top w:w="15" w:type="dxa"/>
              <w:left w:w="108" w:type="dxa"/>
              <w:bottom w:w="0" w:type="dxa"/>
              <w:right w:w="108" w:type="dxa"/>
            </w:tcMar>
          </w:tcPr>
          <w:p w14:paraId="7F8D3496">
            <w:pPr>
              <w:adjustRightInd w:val="0"/>
              <w:snapToGrid w:val="0"/>
              <w:jc w:val="left"/>
              <w:rPr>
                <w:sz w:val="18"/>
                <w:szCs w:val="18"/>
              </w:rPr>
            </w:pPr>
            <w:r>
              <w:rPr>
                <w:sz w:val="18"/>
                <w:szCs w:val="18"/>
              </w:rPr>
              <w:t>除技术负责人、质量保证体系人员外，技术人员不少于</w:t>
            </w:r>
            <w:r>
              <w:rPr>
                <w:rFonts w:hint="eastAsia"/>
                <w:sz w:val="18"/>
                <w:szCs w:val="18"/>
              </w:rPr>
              <w:t>8</w:t>
            </w:r>
            <w:r>
              <w:rPr>
                <w:sz w:val="18"/>
                <w:szCs w:val="18"/>
              </w:rPr>
              <w:t>人，其中具有工程师职称的人员不少于</w:t>
            </w:r>
            <w:r>
              <w:rPr>
                <w:rFonts w:hint="eastAsia"/>
                <w:sz w:val="18"/>
                <w:szCs w:val="18"/>
              </w:rPr>
              <w:t>2</w:t>
            </w:r>
            <w:r>
              <w:rPr>
                <w:sz w:val="18"/>
                <w:szCs w:val="18"/>
              </w:rPr>
              <w:t>人</w:t>
            </w:r>
            <w:r>
              <w:rPr>
                <w:rFonts w:hint="eastAsia"/>
                <w:sz w:val="18"/>
                <w:szCs w:val="18"/>
              </w:rPr>
              <w:t>。</w:t>
            </w:r>
          </w:p>
        </w:tc>
        <w:tc>
          <w:tcPr>
            <w:tcW w:w="2329" w:type="dxa"/>
            <w:vAlign w:val="center"/>
          </w:tcPr>
          <w:p w14:paraId="67274AE9">
            <w:pPr>
              <w:adjustRightInd w:val="0"/>
              <w:snapToGrid w:val="0"/>
              <w:rPr>
                <w:sz w:val="18"/>
                <w:szCs w:val="18"/>
              </w:rPr>
            </w:pPr>
            <w:r>
              <w:rPr>
                <w:sz w:val="18"/>
                <w:szCs w:val="18"/>
              </w:rPr>
              <w:t>除技术负责人、质量保证体系人员外，不少于2人，其中工程师至少1人。</w:t>
            </w:r>
          </w:p>
        </w:tc>
      </w:tr>
      <w:tr w14:paraId="436949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jc w:val="center"/>
        </w:trPr>
        <w:tc>
          <w:tcPr>
            <w:tcW w:w="957" w:type="dxa"/>
            <w:vMerge w:val="continue"/>
          </w:tcPr>
          <w:p w14:paraId="4CDAFD5E">
            <w:pPr>
              <w:adjustRightInd w:val="0"/>
              <w:snapToGrid w:val="0"/>
              <w:jc w:val="center"/>
              <w:rPr>
                <w:sz w:val="18"/>
                <w:szCs w:val="18"/>
              </w:rPr>
            </w:pPr>
          </w:p>
        </w:tc>
        <w:tc>
          <w:tcPr>
            <w:tcW w:w="2833" w:type="dxa"/>
            <w:gridSpan w:val="2"/>
            <w:vMerge w:val="restart"/>
            <w:tcMar>
              <w:top w:w="15" w:type="dxa"/>
              <w:left w:w="108" w:type="dxa"/>
              <w:bottom w:w="0" w:type="dxa"/>
              <w:right w:w="108" w:type="dxa"/>
            </w:tcMar>
            <w:vAlign w:val="center"/>
          </w:tcPr>
          <w:p w14:paraId="0836D971">
            <w:pPr>
              <w:adjustRightInd w:val="0"/>
              <w:snapToGrid w:val="0"/>
              <w:jc w:val="left"/>
              <w:rPr>
                <w:sz w:val="18"/>
                <w:szCs w:val="18"/>
              </w:rPr>
            </w:pPr>
            <w:r>
              <w:rPr>
                <w:sz w:val="18"/>
                <w:szCs w:val="18"/>
              </w:rPr>
              <w:t>4.质量检验人员</w:t>
            </w:r>
          </w:p>
          <w:p w14:paraId="3B4072CF">
            <w:pPr>
              <w:adjustRightInd w:val="0"/>
              <w:snapToGrid w:val="0"/>
              <w:jc w:val="left"/>
              <w:rPr>
                <w:sz w:val="18"/>
                <w:szCs w:val="18"/>
              </w:rPr>
            </w:pPr>
            <w:r>
              <w:rPr>
                <w:sz w:val="18"/>
                <w:szCs w:val="18"/>
              </w:rPr>
              <w:t>由技术人员或者持有电梯修理作业资格证的人员担任。</w:t>
            </w:r>
          </w:p>
        </w:tc>
        <w:tc>
          <w:tcPr>
            <w:tcW w:w="2693" w:type="dxa"/>
            <w:tcMar>
              <w:top w:w="15" w:type="dxa"/>
              <w:left w:w="108" w:type="dxa"/>
              <w:bottom w:w="0" w:type="dxa"/>
              <w:right w:w="108" w:type="dxa"/>
            </w:tcMar>
            <w:vAlign w:val="center"/>
          </w:tcPr>
          <w:p w14:paraId="32812FDD">
            <w:pPr>
              <w:adjustRightInd w:val="0"/>
              <w:snapToGrid w:val="0"/>
              <w:jc w:val="left"/>
              <w:rPr>
                <w:sz w:val="18"/>
                <w:szCs w:val="18"/>
              </w:rPr>
            </w:pPr>
            <w:r>
              <w:rPr>
                <w:rFonts w:hint="eastAsia"/>
                <w:sz w:val="18"/>
                <w:szCs w:val="18"/>
              </w:rPr>
              <w:t>制造过程专职质量检验人员不少于5人，具有工程师职称。</w:t>
            </w:r>
          </w:p>
        </w:tc>
        <w:tc>
          <w:tcPr>
            <w:tcW w:w="2693" w:type="dxa"/>
            <w:tcMar>
              <w:top w:w="15" w:type="dxa"/>
              <w:left w:w="108" w:type="dxa"/>
              <w:bottom w:w="0" w:type="dxa"/>
              <w:right w:w="108" w:type="dxa"/>
            </w:tcMar>
            <w:vAlign w:val="center"/>
          </w:tcPr>
          <w:p w14:paraId="211601C3">
            <w:pPr>
              <w:adjustRightInd w:val="0"/>
              <w:snapToGrid w:val="0"/>
              <w:jc w:val="left"/>
              <w:rPr>
                <w:sz w:val="18"/>
                <w:szCs w:val="18"/>
              </w:rPr>
            </w:pPr>
            <w:r>
              <w:rPr>
                <w:rFonts w:hint="eastAsia"/>
                <w:sz w:val="18"/>
                <w:szCs w:val="18"/>
              </w:rPr>
              <w:t>制造过程专职质量检验人员不少于3人，具有工程师职称。</w:t>
            </w:r>
          </w:p>
        </w:tc>
        <w:tc>
          <w:tcPr>
            <w:tcW w:w="2698" w:type="dxa"/>
            <w:tcMar>
              <w:top w:w="15" w:type="dxa"/>
              <w:left w:w="108" w:type="dxa"/>
              <w:bottom w:w="0" w:type="dxa"/>
              <w:right w:w="108" w:type="dxa"/>
            </w:tcMar>
            <w:vAlign w:val="center"/>
          </w:tcPr>
          <w:p w14:paraId="644E4C76">
            <w:pPr>
              <w:adjustRightInd w:val="0"/>
              <w:snapToGrid w:val="0"/>
              <w:jc w:val="left"/>
              <w:rPr>
                <w:sz w:val="18"/>
                <w:szCs w:val="18"/>
              </w:rPr>
            </w:pPr>
            <w:r>
              <w:rPr>
                <w:rFonts w:hint="eastAsia"/>
                <w:sz w:val="18"/>
                <w:szCs w:val="18"/>
              </w:rPr>
              <w:t>制造过程专职质量检验人员不少于2人，具有工程师职称。</w:t>
            </w:r>
          </w:p>
        </w:tc>
        <w:tc>
          <w:tcPr>
            <w:tcW w:w="2329" w:type="dxa"/>
          </w:tcPr>
          <w:p w14:paraId="2AD834AB">
            <w:pPr>
              <w:adjustRightInd w:val="0"/>
              <w:snapToGrid w:val="0"/>
              <w:jc w:val="left"/>
              <w:rPr>
                <w:sz w:val="18"/>
                <w:szCs w:val="18"/>
              </w:rPr>
            </w:pPr>
            <w:r>
              <w:rPr>
                <w:sz w:val="18"/>
                <w:szCs w:val="18"/>
              </w:rPr>
              <w:t>制造过程，至少1人，由技术人员担任</w:t>
            </w:r>
            <w:r>
              <w:rPr>
                <w:rFonts w:hint="eastAsia"/>
                <w:sz w:val="18"/>
                <w:szCs w:val="18"/>
              </w:rPr>
              <w:t>。</w:t>
            </w:r>
          </w:p>
        </w:tc>
      </w:tr>
      <w:tr w14:paraId="20712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jc w:val="center"/>
        </w:trPr>
        <w:tc>
          <w:tcPr>
            <w:tcW w:w="957" w:type="dxa"/>
            <w:vMerge w:val="continue"/>
          </w:tcPr>
          <w:p w14:paraId="39441AB3">
            <w:pPr>
              <w:adjustRightInd w:val="0"/>
              <w:snapToGrid w:val="0"/>
              <w:jc w:val="center"/>
              <w:rPr>
                <w:sz w:val="18"/>
                <w:szCs w:val="18"/>
              </w:rPr>
            </w:pPr>
          </w:p>
        </w:tc>
        <w:tc>
          <w:tcPr>
            <w:tcW w:w="2833" w:type="dxa"/>
            <w:gridSpan w:val="2"/>
            <w:vMerge w:val="continue"/>
            <w:tcMar>
              <w:top w:w="15" w:type="dxa"/>
              <w:left w:w="108" w:type="dxa"/>
              <w:bottom w:w="0" w:type="dxa"/>
              <w:right w:w="108" w:type="dxa"/>
            </w:tcMar>
            <w:vAlign w:val="center"/>
          </w:tcPr>
          <w:p w14:paraId="04C11654">
            <w:pPr>
              <w:adjustRightInd w:val="0"/>
              <w:snapToGrid w:val="0"/>
              <w:jc w:val="left"/>
              <w:rPr>
                <w:sz w:val="18"/>
                <w:szCs w:val="18"/>
              </w:rPr>
            </w:pPr>
          </w:p>
        </w:tc>
        <w:tc>
          <w:tcPr>
            <w:tcW w:w="2693" w:type="dxa"/>
            <w:tcMar>
              <w:top w:w="15" w:type="dxa"/>
              <w:left w:w="108" w:type="dxa"/>
              <w:bottom w:w="0" w:type="dxa"/>
              <w:right w:w="108" w:type="dxa"/>
            </w:tcMar>
            <w:vAlign w:val="center"/>
          </w:tcPr>
          <w:p w14:paraId="7E824B0F">
            <w:pPr>
              <w:adjustRightInd w:val="0"/>
              <w:snapToGrid w:val="0"/>
              <w:rPr>
                <w:sz w:val="18"/>
                <w:szCs w:val="18"/>
              </w:rPr>
            </w:pPr>
            <w:r>
              <w:rPr>
                <w:sz w:val="18"/>
                <w:szCs w:val="18"/>
              </w:rPr>
              <w:t>现场</w:t>
            </w:r>
            <w:r>
              <w:rPr>
                <w:rFonts w:hint="eastAsia"/>
                <w:sz w:val="18"/>
                <w:szCs w:val="18"/>
              </w:rPr>
              <w:t>施工</w:t>
            </w:r>
            <w:r>
              <w:rPr>
                <w:sz w:val="18"/>
                <w:szCs w:val="18"/>
              </w:rPr>
              <w:t>过程检验、验收检验的</w:t>
            </w:r>
            <w:r>
              <w:rPr>
                <w:rFonts w:hint="eastAsia"/>
                <w:sz w:val="18"/>
                <w:szCs w:val="18"/>
              </w:rPr>
              <w:t>专职</w:t>
            </w:r>
            <w:r>
              <w:rPr>
                <w:sz w:val="18"/>
                <w:szCs w:val="18"/>
              </w:rPr>
              <w:t>质量检验人员不少于6人</w:t>
            </w:r>
            <w:r>
              <w:rPr>
                <w:rFonts w:hint="eastAsia"/>
                <w:sz w:val="18"/>
                <w:szCs w:val="18"/>
              </w:rPr>
              <w:t>。</w:t>
            </w:r>
          </w:p>
        </w:tc>
        <w:tc>
          <w:tcPr>
            <w:tcW w:w="2693" w:type="dxa"/>
            <w:tcMar>
              <w:top w:w="15" w:type="dxa"/>
              <w:left w:w="108" w:type="dxa"/>
              <w:bottom w:w="0" w:type="dxa"/>
              <w:right w:w="108" w:type="dxa"/>
            </w:tcMar>
            <w:vAlign w:val="center"/>
          </w:tcPr>
          <w:p w14:paraId="678687A4">
            <w:pPr>
              <w:adjustRightInd w:val="0"/>
              <w:snapToGrid w:val="0"/>
              <w:rPr>
                <w:sz w:val="18"/>
                <w:szCs w:val="18"/>
              </w:rPr>
            </w:pPr>
            <w:r>
              <w:rPr>
                <w:sz w:val="18"/>
                <w:szCs w:val="18"/>
              </w:rPr>
              <w:t>现场施工过程检验、验收检验的专职质量检验人员不少于4人</w:t>
            </w:r>
            <w:r>
              <w:rPr>
                <w:rFonts w:hint="eastAsia"/>
                <w:sz w:val="18"/>
                <w:szCs w:val="18"/>
              </w:rPr>
              <w:t>。</w:t>
            </w:r>
          </w:p>
        </w:tc>
        <w:tc>
          <w:tcPr>
            <w:tcW w:w="2698" w:type="dxa"/>
            <w:tcMar>
              <w:top w:w="15" w:type="dxa"/>
              <w:left w:w="108" w:type="dxa"/>
              <w:bottom w:w="0" w:type="dxa"/>
              <w:right w:w="108" w:type="dxa"/>
            </w:tcMar>
            <w:vAlign w:val="center"/>
          </w:tcPr>
          <w:p w14:paraId="2F0E8EE6">
            <w:pPr>
              <w:adjustRightInd w:val="0"/>
              <w:snapToGrid w:val="0"/>
              <w:rPr>
                <w:sz w:val="18"/>
                <w:szCs w:val="18"/>
              </w:rPr>
            </w:pPr>
            <w:r>
              <w:rPr>
                <w:sz w:val="18"/>
                <w:szCs w:val="18"/>
              </w:rPr>
              <w:t>现场施工过程检验、验收检验的专职质量检验人员不少于3人</w:t>
            </w:r>
            <w:r>
              <w:rPr>
                <w:rFonts w:hint="eastAsia"/>
                <w:sz w:val="18"/>
                <w:szCs w:val="18"/>
              </w:rPr>
              <w:t>。</w:t>
            </w:r>
          </w:p>
        </w:tc>
        <w:tc>
          <w:tcPr>
            <w:tcW w:w="2329" w:type="dxa"/>
            <w:vAlign w:val="center"/>
          </w:tcPr>
          <w:p w14:paraId="5C8CCBBE">
            <w:pPr>
              <w:adjustRightInd w:val="0"/>
              <w:snapToGrid w:val="0"/>
              <w:rPr>
                <w:spacing w:val="-6"/>
                <w:sz w:val="18"/>
                <w:szCs w:val="18"/>
              </w:rPr>
            </w:pPr>
            <w:r>
              <w:rPr>
                <w:spacing w:val="-6"/>
                <w:sz w:val="18"/>
                <w:szCs w:val="18"/>
              </w:rPr>
              <w:t>现场施工过程检验、验收检验的专职质量检验人员不少于</w:t>
            </w:r>
            <w:r>
              <w:rPr>
                <w:rFonts w:hint="eastAsia"/>
                <w:spacing w:val="-6"/>
                <w:sz w:val="18"/>
                <w:szCs w:val="18"/>
              </w:rPr>
              <w:t>1</w:t>
            </w:r>
            <w:r>
              <w:rPr>
                <w:spacing w:val="-6"/>
                <w:sz w:val="18"/>
                <w:szCs w:val="18"/>
              </w:rPr>
              <w:t>人</w:t>
            </w:r>
            <w:r>
              <w:rPr>
                <w:rFonts w:hint="eastAsia"/>
                <w:spacing w:val="-6"/>
                <w:sz w:val="18"/>
                <w:szCs w:val="18"/>
              </w:rPr>
              <w:t>。</w:t>
            </w:r>
          </w:p>
        </w:tc>
      </w:tr>
      <w:tr w14:paraId="1BB3E8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957" w:type="dxa"/>
            <w:vMerge w:val="continue"/>
          </w:tcPr>
          <w:p w14:paraId="31282A85">
            <w:pPr>
              <w:adjustRightInd w:val="0"/>
              <w:snapToGrid w:val="0"/>
              <w:jc w:val="center"/>
              <w:rPr>
                <w:sz w:val="18"/>
                <w:szCs w:val="18"/>
              </w:rPr>
            </w:pPr>
          </w:p>
        </w:tc>
        <w:tc>
          <w:tcPr>
            <w:tcW w:w="2833" w:type="dxa"/>
            <w:gridSpan w:val="2"/>
            <w:tcMar>
              <w:top w:w="15" w:type="dxa"/>
              <w:left w:w="108" w:type="dxa"/>
              <w:bottom w:w="0" w:type="dxa"/>
              <w:right w:w="108" w:type="dxa"/>
            </w:tcMar>
            <w:vAlign w:val="center"/>
          </w:tcPr>
          <w:p w14:paraId="6CF40DC0">
            <w:pPr>
              <w:adjustRightInd w:val="0"/>
              <w:snapToGrid w:val="0"/>
              <w:jc w:val="left"/>
              <w:rPr>
                <w:sz w:val="18"/>
                <w:szCs w:val="18"/>
              </w:rPr>
            </w:pPr>
            <w:r>
              <w:rPr>
                <w:sz w:val="18"/>
                <w:szCs w:val="18"/>
              </w:rPr>
              <w:t>5.项目负责人</w:t>
            </w:r>
          </w:p>
        </w:tc>
        <w:tc>
          <w:tcPr>
            <w:tcW w:w="2693" w:type="dxa"/>
            <w:tcMar>
              <w:top w:w="15" w:type="dxa"/>
              <w:left w:w="108" w:type="dxa"/>
              <w:bottom w:w="0" w:type="dxa"/>
              <w:right w:w="108" w:type="dxa"/>
            </w:tcMar>
            <w:vAlign w:val="center"/>
          </w:tcPr>
          <w:p w14:paraId="69C06BFE">
            <w:pPr>
              <w:adjustRightInd w:val="0"/>
              <w:snapToGrid w:val="0"/>
              <w:rPr>
                <w:sz w:val="18"/>
                <w:szCs w:val="18"/>
              </w:rPr>
            </w:pPr>
            <w:r>
              <w:rPr>
                <w:sz w:val="18"/>
                <w:szCs w:val="18"/>
              </w:rPr>
              <w:t>由技术人员担任。</w:t>
            </w:r>
          </w:p>
        </w:tc>
        <w:tc>
          <w:tcPr>
            <w:tcW w:w="2693" w:type="dxa"/>
            <w:tcMar>
              <w:top w:w="15" w:type="dxa"/>
              <w:left w:w="108" w:type="dxa"/>
              <w:bottom w:w="0" w:type="dxa"/>
              <w:right w:w="108" w:type="dxa"/>
            </w:tcMar>
            <w:vAlign w:val="center"/>
          </w:tcPr>
          <w:p w14:paraId="15FBE92F">
            <w:pPr>
              <w:adjustRightInd w:val="0"/>
              <w:snapToGrid w:val="0"/>
              <w:rPr>
                <w:sz w:val="18"/>
                <w:szCs w:val="18"/>
              </w:rPr>
            </w:pPr>
            <w:r>
              <w:rPr>
                <w:sz w:val="18"/>
                <w:szCs w:val="18"/>
              </w:rPr>
              <w:t>由技术人员担任。</w:t>
            </w:r>
          </w:p>
        </w:tc>
        <w:tc>
          <w:tcPr>
            <w:tcW w:w="2698" w:type="dxa"/>
            <w:tcMar>
              <w:top w:w="15" w:type="dxa"/>
              <w:left w:w="108" w:type="dxa"/>
              <w:bottom w:w="0" w:type="dxa"/>
              <w:right w:w="108" w:type="dxa"/>
            </w:tcMar>
            <w:vAlign w:val="center"/>
          </w:tcPr>
          <w:p w14:paraId="7C2D77DA">
            <w:pPr>
              <w:adjustRightInd w:val="0"/>
              <w:snapToGrid w:val="0"/>
              <w:rPr>
                <w:sz w:val="18"/>
                <w:szCs w:val="18"/>
              </w:rPr>
            </w:pPr>
            <w:r>
              <w:rPr>
                <w:sz w:val="18"/>
                <w:szCs w:val="18"/>
              </w:rPr>
              <w:t>由技术人员担任。</w:t>
            </w:r>
          </w:p>
        </w:tc>
        <w:tc>
          <w:tcPr>
            <w:tcW w:w="2329" w:type="dxa"/>
            <w:vAlign w:val="center"/>
          </w:tcPr>
          <w:p w14:paraId="775BE6D8">
            <w:pPr>
              <w:adjustRightInd w:val="0"/>
              <w:snapToGrid w:val="0"/>
              <w:rPr>
                <w:sz w:val="18"/>
                <w:szCs w:val="18"/>
              </w:rPr>
            </w:pPr>
            <w:r>
              <w:rPr>
                <w:sz w:val="18"/>
                <w:szCs w:val="18"/>
              </w:rPr>
              <w:t>由技术人员担任。</w:t>
            </w:r>
          </w:p>
        </w:tc>
      </w:tr>
      <w:tr w14:paraId="55048A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5" w:hRule="atLeast"/>
          <w:jc w:val="center"/>
        </w:trPr>
        <w:tc>
          <w:tcPr>
            <w:tcW w:w="957" w:type="dxa"/>
            <w:vMerge w:val="continue"/>
          </w:tcPr>
          <w:p w14:paraId="5FD91C3F">
            <w:pPr>
              <w:adjustRightInd w:val="0"/>
              <w:snapToGrid w:val="0"/>
              <w:jc w:val="center"/>
              <w:rPr>
                <w:sz w:val="18"/>
                <w:szCs w:val="18"/>
              </w:rPr>
            </w:pPr>
          </w:p>
        </w:tc>
        <w:tc>
          <w:tcPr>
            <w:tcW w:w="2833" w:type="dxa"/>
            <w:gridSpan w:val="2"/>
            <w:tcMar>
              <w:top w:w="15" w:type="dxa"/>
              <w:left w:w="108" w:type="dxa"/>
              <w:bottom w:w="0" w:type="dxa"/>
              <w:right w:w="108" w:type="dxa"/>
            </w:tcMar>
            <w:vAlign w:val="center"/>
          </w:tcPr>
          <w:p w14:paraId="271D9692">
            <w:pPr>
              <w:adjustRightInd w:val="0"/>
              <w:snapToGrid w:val="0"/>
              <w:rPr>
                <w:sz w:val="18"/>
                <w:szCs w:val="18"/>
              </w:rPr>
            </w:pPr>
            <w:r>
              <w:rPr>
                <w:sz w:val="18"/>
                <w:szCs w:val="18"/>
              </w:rPr>
              <w:t>6.作业人员</w:t>
            </w:r>
          </w:p>
        </w:tc>
        <w:tc>
          <w:tcPr>
            <w:tcW w:w="2693" w:type="dxa"/>
            <w:tcMar>
              <w:top w:w="15" w:type="dxa"/>
              <w:left w:w="108" w:type="dxa"/>
              <w:bottom w:w="0" w:type="dxa"/>
              <w:right w:w="108" w:type="dxa"/>
            </w:tcMar>
            <w:vAlign w:val="center"/>
          </w:tcPr>
          <w:p w14:paraId="35263848">
            <w:pPr>
              <w:adjustRightInd w:val="0"/>
              <w:snapToGrid w:val="0"/>
              <w:rPr>
                <w:sz w:val="18"/>
                <w:szCs w:val="18"/>
              </w:rPr>
            </w:pPr>
            <w:r>
              <w:rPr>
                <w:sz w:val="18"/>
                <w:szCs w:val="18"/>
              </w:rPr>
              <w:t>持电梯修理作业资格证书的人员不少于35人，其中持电梯修理作业资格证6年以上或者取得电梯中级技工职业资格证的技术工人不少于8人。</w:t>
            </w:r>
          </w:p>
        </w:tc>
        <w:tc>
          <w:tcPr>
            <w:tcW w:w="2693" w:type="dxa"/>
            <w:tcMar>
              <w:top w:w="15" w:type="dxa"/>
              <w:left w:w="108" w:type="dxa"/>
              <w:bottom w:w="0" w:type="dxa"/>
              <w:right w:w="108" w:type="dxa"/>
            </w:tcMar>
            <w:vAlign w:val="center"/>
          </w:tcPr>
          <w:p w14:paraId="1649E273">
            <w:pPr>
              <w:adjustRightInd w:val="0"/>
              <w:snapToGrid w:val="0"/>
              <w:rPr>
                <w:sz w:val="18"/>
                <w:szCs w:val="18"/>
              </w:rPr>
            </w:pPr>
            <w:r>
              <w:rPr>
                <w:sz w:val="18"/>
                <w:szCs w:val="18"/>
              </w:rPr>
              <w:t>持电梯修理作业资格证书的人员不少于20人，其中持电梯修理作业资格证6年以上或者取得电梯中级技工职业资格证的技术工人不少于5人。</w:t>
            </w:r>
          </w:p>
        </w:tc>
        <w:tc>
          <w:tcPr>
            <w:tcW w:w="2698" w:type="dxa"/>
            <w:tcMar>
              <w:top w:w="15" w:type="dxa"/>
              <w:left w:w="108" w:type="dxa"/>
              <w:bottom w:w="0" w:type="dxa"/>
              <w:right w:w="108" w:type="dxa"/>
            </w:tcMar>
            <w:vAlign w:val="center"/>
          </w:tcPr>
          <w:p w14:paraId="2B810369">
            <w:pPr>
              <w:adjustRightInd w:val="0"/>
              <w:snapToGrid w:val="0"/>
              <w:rPr>
                <w:sz w:val="18"/>
                <w:szCs w:val="18"/>
              </w:rPr>
            </w:pPr>
            <w:r>
              <w:rPr>
                <w:sz w:val="18"/>
                <w:szCs w:val="18"/>
              </w:rPr>
              <w:t>持电梯修理作业资格证书的人员不少于10人，其中持电梯修理作业资格证6年以上或者取得电梯中级技工职业资格证的技术工人不少于</w:t>
            </w:r>
            <w:r>
              <w:rPr>
                <w:rFonts w:hint="eastAsia"/>
                <w:sz w:val="18"/>
                <w:szCs w:val="18"/>
              </w:rPr>
              <w:t>3</w:t>
            </w:r>
            <w:r>
              <w:rPr>
                <w:sz w:val="18"/>
                <w:szCs w:val="18"/>
              </w:rPr>
              <w:t>人。</w:t>
            </w:r>
          </w:p>
        </w:tc>
        <w:tc>
          <w:tcPr>
            <w:tcW w:w="2329" w:type="dxa"/>
            <w:vAlign w:val="center"/>
          </w:tcPr>
          <w:p w14:paraId="0F6C9E60">
            <w:pPr>
              <w:adjustRightInd w:val="0"/>
              <w:snapToGrid w:val="0"/>
              <w:rPr>
                <w:sz w:val="18"/>
                <w:szCs w:val="18"/>
              </w:rPr>
            </w:pPr>
            <w:r>
              <w:rPr>
                <w:sz w:val="18"/>
                <w:szCs w:val="18"/>
              </w:rPr>
              <w:t>持电梯修理作业资格证书的人员不少于</w:t>
            </w:r>
            <w:r>
              <w:rPr>
                <w:rFonts w:hint="eastAsia"/>
                <w:sz w:val="18"/>
                <w:szCs w:val="18"/>
              </w:rPr>
              <w:t>5</w:t>
            </w:r>
            <w:r>
              <w:rPr>
                <w:sz w:val="18"/>
                <w:szCs w:val="18"/>
              </w:rPr>
              <w:t>人，其中持电梯修理作业资格证6年以上或者取得电梯中级技工职业资格证的技术工人不少于</w:t>
            </w:r>
            <w:r>
              <w:rPr>
                <w:rFonts w:hint="eastAsia"/>
                <w:sz w:val="18"/>
                <w:szCs w:val="18"/>
              </w:rPr>
              <w:t>1</w:t>
            </w:r>
            <w:r>
              <w:rPr>
                <w:sz w:val="18"/>
                <w:szCs w:val="18"/>
              </w:rPr>
              <w:t>人。</w:t>
            </w:r>
          </w:p>
        </w:tc>
      </w:tr>
    </w:tbl>
    <w:p w14:paraId="2A3FC20E">
      <w:pPr>
        <w:rPr>
          <w:rFonts w:hint="eastAsia" w:ascii="宋体" w:hAnsi="宋体" w:eastAsia="宋体"/>
          <w:sz w:val="18"/>
          <w:szCs w:val="18"/>
        </w:rPr>
      </w:pPr>
      <w:r>
        <w:rPr>
          <w:rFonts w:hint="eastAsia" w:ascii="宋体" w:hAnsi="宋体" w:eastAsia="宋体"/>
          <w:sz w:val="18"/>
          <w:szCs w:val="18"/>
        </w:rPr>
        <w:t>注：质量保证工程师应当为管理层成员，质量保证工程师不能兼任质量控制系统责任人员。质量控制系统责任人员最多只能担任两个不相关的质量控制系统责任人员。</w:t>
      </w:r>
    </w:p>
    <w:p w14:paraId="6B0464FB">
      <w:pPr>
        <w:widowControl/>
        <w:jc w:val="left"/>
        <w:rPr>
          <w:rFonts w:hint="eastAsia" w:ascii="楷体" w:hAnsi="楷体" w:eastAsia="楷体" w:cs="楷体"/>
          <w:bCs/>
          <w:color w:val="000000"/>
          <w:sz w:val="32"/>
          <w:szCs w:val="32"/>
        </w:rPr>
        <w:sectPr>
          <w:pgSz w:w="16838" w:h="11906" w:orient="landscape"/>
          <w:pgMar w:top="1276" w:right="1928" w:bottom="1474" w:left="1814" w:header="851" w:footer="992" w:gutter="0"/>
          <w:pgNumType w:fmt="numberInDash"/>
          <w:cols w:space="0" w:num="1"/>
          <w:docGrid w:type="linesAndChars" w:linePitch="312" w:charSpace="0"/>
        </w:sectPr>
      </w:pPr>
    </w:p>
    <w:p w14:paraId="22A2DF7B">
      <w:pPr>
        <w:pStyle w:val="20"/>
        <w:spacing w:line="560" w:lineRule="exact"/>
        <w:ind w:firstLine="640"/>
        <w:rPr>
          <w:rFonts w:hint="eastAsia" w:ascii="楷体" w:hAnsi="楷体" w:eastAsia="楷体" w:cs="楷体"/>
          <w:bCs/>
          <w:color w:val="000000"/>
          <w:sz w:val="32"/>
          <w:szCs w:val="32"/>
        </w:rPr>
      </w:pPr>
      <w:r>
        <w:rPr>
          <w:rFonts w:hint="eastAsia" w:ascii="楷体" w:hAnsi="楷体" w:eastAsia="楷体" w:cs="楷体"/>
          <w:bCs/>
          <w:color w:val="000000"/>
          <w:sz w:val="32"/>
          <w:szCs w:val="32"/>
        </w:rPr>
        <w:t>（二）起重机械维保单位</w:t>
      </w:r>
    </w:p>
    <w:tbl>
      <w:tblPr>
        <w:tblStyle w:val="15"/>
        <w:tblW w:w="96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801"/>
        <w:gridCol w:w="1290"/>
        <w:gridCol w:w="7583"/>
      </w:tblGrid>
      <w:tr w14:paraId="544B6A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blHeader/>
          <w:jc w:val="center"/>
        </w:trPr>
        <w:tc>
          <w:tcPr>
            <w:tcW w:w="801" w:type="dxa"/>
            <w:vAlign w:val="center"/>
          </w:tcPr>
          <w:p w14:paraId="42AB64A7">
            <w:pPr>
              <w:pStyle w:val="35"/>
              <w:kinsoku w:val="0"/>
              <w:overflowPunct w:val="0"/>
              <w:adjustRightInd w:val="0"/>
              <w:snapToGrid w:val="0"/>
              <w:jc w:val="center"/>
              <w:rPr>
                <w:rFonts w:hint="eastAsia" w:ascii="宋体" w:hAnsi="宋体" w:eastAsia="宋体" w:cs="宋体"/>
                <w:b/>
                <w:bCs/>
                <w:color w:val="auto"/>
                <w:szCs w:val="21"/>
              </w:rPr>
            </w:pPr>
            <w:r>
              <w:rPr>
                <w:rFonts w:hint="eastAsia" w:ascii="宋体" w:hAnsi="宋体" w:eastAsia="宋体" w:cs="宋体"/>
                <w:b/>
                <w:bCs/>
                <w:color w:val="auto"/>
                <w:szCs w:val="21"/>
              </w:rPr>
              <w:t>序号</w:t>
            </w:r>
          </w:p>
        </w:tc>
        <w:tc>
          <w:tcPr>
            <w:tcW w:w="1290" w:type="dxa"/>
            <w:vAlign w:val="center"/>
          </w:tcPr>
          <w:p w14:paraId="5D64338B">
            <w:pPr>
              <w:pStyle w:val="35"/>
              <w:kinsoku w:val="0"/>
              <w:overflowPunct w:val="0"/>
              <w:adjustRightInd w:val="0"/>
              <w:snapToGrid w:val="0"/>
              <w:jc w:val="center"/>
              <w:rPr>
                <w:rFonts w:hint="eastAsia" w:ascii="宋体" w:hAnsi="宋体" w:eastAsia="宋体" w:cs="宋体"/>
                <w:b/>
                <w:bCs/>
                <w:color w:val="auto"/>
                <w:szCs w:val="21"/>
              </w:rPr>
            </w:pPr>
            <w:r>
              <w:rPr>
                <w:rFonts w:hint="eastAsia" w:ascii="宋体" w:hAnsi="宋体" w:eastAsia="宋体" w:cs="宋体"/>
                <w:b/>
                <w:bCs/>
                <w:color w:val="auto"/>
                <w:szCs w:val="21"/>
              </w:rPr>
              <w:t>检查项目</w:t>
            </w:r>
          </w:p>
        </w:tc>
        <w:tc>
          <w:tcPr>
            <w:tcW w:w="7583" w:type="dxa"/>
            <w:vAlign w:val="center"/>
          </w:tcPr>
          <w:p w14:paraId="681A4EBC">
            <w:pPr>
              <w:pStyle w:val="35"/>
              <w:kinsoku w:val="0"/>
              <w:overflowPunct w:val="0"/>
              <w:adjustRightInd w:val="0"/>
              <w:snapToGrid w:val="0"/>
              <w:jc w:val="center"/>
              <w:rPr>
                <w:rFonts w:hint="eastAsia" w:ascii="宋体" w:hAnsi="宋体" w:eastAsia="宋体" w:cs="宋体"/>
                <w:b/>
                <w:bCs/>
                <w:color w:val="auto"/>
                <w:szCs w:val="21"/>
              </w:rPr>
            </w:pPr>
            <w:r>
              <w:rPr>
                <w:rFonts w:hint="eastAsia" w:ascii="宋体" w:hAnsi="宋体" w:eastAsia="宋体" w:cs="宋体"/>
                <w:b/>
                <w:bCs/>
                <w:color w:val="auto"/>
                <w:szCs w:val="21"/>
              </w:rPr>
              <w:t>检查内容和要求</w:t>
            </w:r>
          </w:p>
        </w:tc>
      </w:tr>
      <w:tr w14:paraId="55ECA6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4" w:hRule="atLeast"/>
          <w:jc w:val="center"/>
        </w:trPr>
        <w:tc>
          <w:tcPr>
            <w:tcW w:w="801" w:type="dxa"/>
            <w:vAlign w:val="center"/>
          </w:tcPr>
          <w:p w14:paraId="16EF553A">
            <w:pPr>
              <w:pStyle w:val="35"/>
              <w:kinsoku w:val="0"/>
              <w:overflowPunct w:val="0"/>
              <w:adjustRightInd w:val="0"/>
              <w:snapToGrid w:val="0"/>
              <w:ind w:left="102"/>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1290" w:type="dxa"/>
            <w:vAlign w:val="center"/>
          </w:tcPr>
          <w:p w14:paraId="6C312454">
            <w:pPr>
              <w:pStyle w:val="35"/>
              <w:kinsoku w:val="0"/>
              <w:overflowPunct w:val="0"/>
              <w:adjustRightInd w:val="0"/>
              <w:snapToGrid w:val="0"/>
              <w:ind w:left="102"/>
              <w:jc w:val="center"/>
              <w:rPr>
                <w:rFonts w:hint="eastAsia" w:ascii="宋体" w:hAnsi="宋体" w:eastAsia="宋体" w:cs="宋体"/>
                <w:color w:val="auto"/>
                <w:szCs w:val="21"/>
              </w:rPr>
            </w:pPr>
            <w:r>
              <w:rPr>
                <w:rFonts w:hint="eastAsia" w:ascii="宋体" w:hAnsi="宋体" w:eastAsia="宋体" w:cs="宋体"/>
                <w:color w:val="auto"/>
                <w:szCs w:val="21"/>
              </w:rPr>
              <w:t>许可资质与范围</w:t>
            </w:r>
          </w:p>
        </w:tc>
        <w:tc>
          <w:tcPr>
            <w:tcW w:w="7583" w:type="dxa"/>
            <w:vAlign w:val="center"/>
          </w:tcPr>
          <w:p w14:paraId="3132FDA6">
            <w:pPr>
              <w:adjustRightInd w:val="0"/>
              <w:snapToGrid w:val="0"/>
              <w:rPr>
                <w:rFonts w:hint="eastAsia" w:ascii="宋体" w:hAnsi="宋体" w:eastAsia="宋体" w:cs="宋体"/>
                <w:color w:val="auto"/>
              </w:rPr>
            </w:pPr>
            <w:r>
              <w:rPr>
                <w:rFonts w:hint="eastAsia" w:ascii="宋体" w:hAnsi="宋体" w:eastAsia="宋体" w:cs="宋体"/>
                <w:color w:val="auto"/>
              </w:rPr>
              <w:t>1.营业执照主体与许可证载明的单位名称相符。</w:t>
            </w:r>
          </w:p>
          <w:p w14:paraId="062CC9C4">
            <w:pPr>
              <w:adjustRightInd w:val="0"/>
              <w:snapToGrid w:val="0"/>
              <w:rPr>
                <w:rFonts w:hint="eastAsia" w:ascii="宋体" w:hAnsi="宋体" w:eastAsia="宋体" w:cs="宋体"/>
                <w:color w:val="auto"/>
              </w:rPr>
            </w:pPr>
            <w:r>
              <w:rPr>
                <w:rFonts w:hint="eastAsia" w:ascii="宋体" w:hAnsi="宋体" w:eastAsia="宋体" w:cs="宋体"/>
                <w:color w:val="auto"/>
              </w:rPr>
              <w:t>2.持有有效的《中华人民共和国特种设备生产许可证》，许可项目、子项目、级别和参数覆盖实际业务，不超许可范围施工。</w:t>
            </w:r>
          </w:p>
          <w:p w14:paraId="525730B0">
            <w:pPr>
              <w:adjustRightInd w:val="0"/>
              <w:snapToGrid w:val="0"/>
              <w:rPr>
                <w:rFonts w:hint="eastAsia" w:ascii="宋体" w:hAnsi="宋体" w:eastAsia="宋体" w:cs="宋体"/>
                <w:color w:val="auto"/>
              </w:rPr>
            </w:pPr>
            <w:r>
              <w:rPr>
                <w:rFonts w:hint="eastAsia" w:ascii="宋体" w:hAnsi="宋体" w:eastAsia="宋体" w:cs="宋体"/>
                <w:color w:val="auto"/>
              </w:rPr>
              <w:t>3. 生产许可证、维护保养机构负责人、办公地点等信息发生变化的，维护保养单位应当在发生变化15日内向当地特种设备安全监督管理部门重新提供证明材料进行变更。</w:t>
            </w:r>
          </w:p>
          <w:p w14:paraId="344BAB05">
            <w:pPr>
              <w:adjustRightInd w:val="0"/>
              <w:snapToGrid w:val="0"/>
              <w:rPr>
                <w:rFonts w:hint="eastAsia" w:ascii="宋体" w:hAnsi="宋体" w:eastAsia="宋体" w:cs="宋体"/>
                <w:color w:val="auto"/>
              </w:rPr>
            </w:pPr>
            <w:r>
              <w:rPr>
                <w:rFonts w:hint="eastAsia" w:ascii="宋体" w:hAnsi="宋体" w:eastAsia="宋体" w:cs="宋体"/>
                <w:color w:val="auto"/>
              </w:rPr>
              <w:t>依据：TSG 07—2019第1.4、1.5条，附件M M3.15，</w:t>
            </w:r>
            <w:r>
              <w:rPr>
                <w:rFonts w:ascii="宋体" w:hAnsi="宋体" w:eastAsia="宋体" w:cs="宋体"/>
                <w:color w:val="auto"/>
              </w:rPr>
              <w:t>DB3202</w:t>
            </w:r>
            <w:r>
              <w:rPr>
                <w:rFonts w:hint="eastAsia" w:ascii="宋体" w:hAnsi="宋体" w:eastAsia="宋体" w:cs="宋体"/>
                <w:color w:val="auto"/>
              </w:rPr>
              <w:t>/</w:t>
            </w:r>
            <w:r>
              <w:rPr>
                <w:rFonts w:ascii="宋体" w:hAnsi="宋体" w:eastAsia="宋体" w:cs="宋体"/>
                <w:color w:val="auto"/>
              </w:rPr>
              <w:t>T 1051-2023</w:t>
            </w:r>
            <w:r>
              <w:rPr>
                <w:rFonts w:hint="eastAsia" w:ascii="宋体" w:hAnsi="宋体" w:eastAsia="宋体" w:cs="宋体"/>
                <w:color w:val="auto"/>
              </w:rPr>
              <w:t>中6.1.2</w:t>
            </w:r>
          </w:p>
        </w:tc>
      </w:tr>
      <w:tr w14:paraId="549A64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01" w:type="dxa"/>
            <w:vAlign w:val="center"/>
          </w:tcPr>
          <w:p w14:paraId="3D69DD88">
            <w:pPr>
              <w:pStyle w:val="35"/>
              <w:kinsoku w:val="0"/>
              <w:overflowPunct w:val="0"/>
              <w:adjustRightInd w:val="0"/>
              <w:snapToGrid w:val="0"/>
              <w:ind w:left="102"/>
              <w:jc w:val="center"/>
              <w:rPr>
                <w:rFonts w:hint="eastAsia" w:ascii="宋体" w:hAnsi="宋体" w:eastAsia="宋体" w:cs="宋体"/>
                <w:color w:val="auto"/>
                <w:szCs w:val="21"/>
              </w:rPr>
            </w:pPr>
            <w:r>
              <w:rPr>
                <w:rFonts w:hint="eastAsia" w:ascii="宋体" w:hAnsi="宋体" w:eastAsia="宋体" w:cs="宋体"/>
                <w:color w:val="auto"/>
                <w:szCs w:val="21"/>
              </w:rPr>
              <w:t>2</w:t>
            </w:r>
          </w:p>
        </w:tc>
        <w:tc>
          <w:tcPr>
            <w:tcW w:w="1290" w:type="dxa"/>
            <w:vAlign w:val="center"/>
          </w:tcPr>
          <w:p w14:paraId="72ABF6C6">
            <w:pPr>
              <w:pStyle w:val="35"/>
              <w:kinsoku w:val="0"/>
              <w:overflowPunct w:val="0"/>
              <w:adjustRightInd w:val="0"/>
              <w:snapToGrid w:val="0"/>
              <w:ind w:left="102"/>
              <w:jc w:val="center"/>
              <w:rPr>
                <w:rFonts w:hint="eastAsia" w:ascii="宋体" w:hAnsi="宋体" w:eastAsia="宋体" w:cs="宋体"/>
                <w:color w:val="auto"/>
                <w:szCs w:val="21"/>
              </w:rPr>
            </w:pPr>
            <w:r>
              <w:rPr>
                <w:rFonts w:hint="eastAsia" w:ascii="宋体" w:hAnsi="宋体" w:eastAsia="宋体" w:cs="宋体"/>
                <w:color w:val="auto"/>
                <w:szCs w:val="21"/>
              </w:rPr>
              <w:t>工作场所</w:t>
            </w:r>
          </w:p>
        </w:tc>
        <w:tc>
          <w:tcPr>
            <w:tcW w:w="7583" w:type="dxa"/>
            <w:vAlign w:val="center"/>
          </w:tcPr>
          <w:p w14:paraId="2BFA1267">
            <w:pPr>
              <w:adjustRightInd w:val="0"/>
              <w:snapToGrid w:val="0"/>
              <w:rPr>
                <w:rFonts w:hint="eastAsia" w:ascii="宋体" w:hAnsi="宋体" w:eastAsia="宋体" w:cs="宋体"/>
                <w:color w:val="auto"/>
              </w:rPr>
            </w:pPr>
            <w:r>
              <w:rPr>
                <w:rFonts w:hint="eastAsia" w:ascii="宋体" w:hAnsi="宋体" w:eastAsia="宋体" w:cs="宋体"/>
                <w:color w:val="auto"/>
              </w:rPr>
              <w:t>1.具有与许可子项目、级别相适应的固定办公场所和仓库，建筑面积及使用条件符合相应专项条件，能够满足日常施工、设备工具和材料零部件管理需要。</w:t>
            </w:r>
          </w:p>
          <w:p w14:paraId="2F38ADEB">
            <w:pPr>
              <w:adjustRightInd w:val="0"/>
              <w:snapToGrid w:val="0"/>
              <w:rPr>
                <w:rFonts w:hint="eastAsia" w:ascii="宋体" w:hAnsi="宋体" w:eastAsia="宋体" w:cs="宋体"/>
                <w:color w:val="auto"/>
              </w:rPr>
            </w:pPr>
            <w:r>
              <w:rPr>
                <w:rFonts w:hint="eastAsia" w:ascii="宋体" w:hAnsi="宋体" w:eastAsia="宋体" w:cs="宋体"/>
                <w:color w:val="auto"/>
              </w:rPr>
              <w:t>2.场所承租的，租赁期限覆盖许可证有效期并具有出租方权属证明；实际办公、仓库地址与许可信息及质量保证体系文件相符。</w:t>
            </w:r>
          </w:p>
          <w:p w14:paraId="45EAD656">
            <w:pPr>
              <w:adjustRightInd w:val="0"/>
              <w:snapToGrid w:val="0"/>
              <w:rPr>
                <w:rFonts w:hint="eastAsia" w:ascii="宋体" w:hAnsi="宋体" w:eastAsia="宋体" w:cs="宋体"/>
                <w:color w:val="auto"/>
              </w:rPr>
            </w:pPr>
            <w:r>
              <w:rPr>
                <w:rFonts w:hint="eastAsia" w:ascii="宋体" w:hAnsi="宋体" w:eastAsia="宋体" w:cs="宋体"/>
                <w:color w:val="auto"/>
              </w:rPr>
              <w:t>3.在本地设置固定办公场所。</w:t>
            </w:r>
          </w:p>
          <w:p w14:paraId="4A26FBE5">
            <w:pPr>
              <w:adjustRightInd w:val="0"/>
              <w:snapToGrid w:val="0"/>
              <w:rPr>
                <w:rFonts w:hint="eastAsia" w:ascii="宋体" w:hAnsi="宋体" w:eastAsia="宋体" w:cs="宋体"/>
                <w:color w:val="auto"/>
              </w:rPr>
            </w:pPr>
            <w:r>
              <w:rPr>
                <w:rFonts w:hint="eastAsia" w:ascii="宋体" w:hAnsi="宋体" w:eastAsia="宋体" w:cs="宋体"/>
                <w:color w:val="auto"/>
              </w:rPr>
              <w:t>依据：TSG 07—2019第2.2.2.1条、附件H H3.1.2、H3.2.2、H3.3.2，</w:t>
            </w:r>
            <w:r>
              <w:rPr>
                <w:rFonts w:ascii="宋体" w:hAnsi="宋体" w:eastAsia="宋体" w:cs="宋体"/>
                <w:color w:val="auto"/>
              </w:rPr>
              <w:t>DB3202</w:t>
            </w:r>
            <w:r>
              <w:rPr>
                <w:rFonts w:hint="eastAsia" w:ascii="宋体" w:hAnsi="宋体" w:eastAsia="宋体" w:cs="宋体"/>
                <w:color w:val="auto"/>
              </w:rPr>
              <w:t>/</w:t>
            </w:r>
            <w:r>
              <w:rPr>
                <w:rFonts w:ascii="宋体" w:hAnsi="宋体" w:eastAsia="宋体" w:cs="宋体"/>
                <w:color w:val="auto"/>
              </w:rPr>
              <w:t>T 1051-2023</w:t>
            </w:r>
            <w:r>
              <w:rPr>
                <w:rFonts w:hint="eastAsia" w:ascii="宋体" w:hAnsi="宋体" w:eastAsia="宋体" w:cs="宋体"/>
                <w:color w:val="auto"/>
              </w:rPr>
              <w:t>中6.1.1</w:t>
            </w:r>
          </w:p>
        </w:tc>
      </w:tr>
      <w:tr w14:paraId="7C73BA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45" w:hRule="atLeast"/>
          <w:jc w:val="center"/>
        </w:trPr>
        <w:tc>
          <w:tcPr>
            <w:tcW w:w="801" w:type="dxa"/>
            <w:vAlign w:val="center"/>
          </w:tcPr>
          <w:p w14:paraId="2826B714">
            <w:pPr>
              <w:pStyle w:val="35"/>
              <w:kinsoku w:val="0"/>
              <w:overflowPunct w:val="0"/>
              <w:adjustRightInd w:val="0"/>
              <w:snapToGrid w:val="0"/>
              <w:ind w:left="102"/>
              <w:jc w:val="center"/>
              <w:rPr>
                <w:rFonts w:hint="eastAsia" w:ascii="宋体" w:hAnsi="宋体" w:eastAsia="宋体" w:cs="宋体"/>
                <w:color w:val="auto"/>
                <w:szCs w:val="21"/>
              </w:rPr>
            </w:pPr>
            <w:r>
              <w:rPr>
                <w:rFonts w:hint="eastAsia" w:ascii="宋体" w:hAnsi="宋体" w:eastAsia="宋体" w:cs="宋体"/>
                <w:color w:val="auto"/>
                <w:szCs w:val="21"/>
              </w:rPr>
              <w:t>3</w:t>
            </w:r>
          </w:p>
        </w:tc>
        <w:tc>
          <w:tcPr>
            <w:tcW w:w="1290" w:type="dxa"/>
            <w:vAlign w:val="center"/>
          </w:tcPr>
          <w:p w14:paraId="4214E437">
            <w:pPr>
              <w:pStyle w:val="35"/>
              <w:kinsoku w:val="0"/>
              <w:overflowPunct w:val="0"/>
              <w:adjustRightInd w:val="0"/>
              <w:snapToGrid w:val="0"/>
              <w:ind w:left="102"/>
              <w:jc w:val="center"/>
              <w:rPr>
                <w:rFonts w:hint="eastAsia" w:ascii="宋体" w:hAnsi="宋体" w:eastAsia="宋体" w:cs="宋体"/>
                <w:color w:val="auto"/>
                <w:szCs w:val="21"/>
              </w:rPr>
            </w:pPr>
            <w:r>
              <w:rPr>
                <w:rFonts w:hint="eastAsia" w:ascii="宋体" w:hAnsi="宋体" w:eastAsia="宋体" w:cs="宋体"/>
                <w:color w:val="auto"/>
                <w:szCs w:val="21"/>
              </w:rPr>
              <w:t>人员资源</w:t>
            </w:r>
          </w:p>
        </w:tc>
        <w:tc>
          <w:tcPr>
            <w:tcW w:w="7583" w:type="dxa"/>
            <w:vAlign w:val="center"/>
          </w:tcPr>
          <w:p w14:paraId="1010A402">
            <w:pPr>
              <w:adjustRightInd w:val="0"/>
              <w:snapToGrid w:val="0"/>
              <w:rPr>
                <w:rFonts w:hint="eastAsia" w:ascii="宋体" w:hAnsi="宋体" w:eastAsia="宋体" w:cs="宋体"/>
                <w:color w:val="auto"/>
              </w:rPr>
            </w:pPr>
            <w:r>
              <w:rPr>
                <w:rFonts w:hint="eastAsia" w:ascii="宋体" w:hAnsi="宋体" w:eastAsia="宋体" w:cs="宋体"/>
                <w:color w:val="auto"/>
              </w:rPr>
              <w:t>1.技术负责人、质量保证工程师、安装方案设计、吊装、焊接、调试、检验等质量控制系统责任人员及项目负责人均有任命文件并实际履职。</w:t>
            </w:r>
          </w:p>
          <w:p w14:paraId="6189C3FC">
            <w:pPr>
              <w:adjustRightInd w:val="0"/>
              <w:snapToGrid w:val="0"/>
              <w:rPr>
                <w:rFonts w:hint="eastAsia" w:ascii="宋体" w:hAnsi="宋体" w:eastAsia="宋体" w:cs="宋体"/>
                <w:color w:val="auto"/>
              </w:rPr>
            </w:pPr>
            <w:r>
              <w:rPr>
                <w:rFonts w:hint="eastAsia" w:ascii="宋体" w:hAnsi="宋体" w:eastAsia="宋体" w:cs="宋体"/>
                <w:color w:val="auto"/>
              </w:rPr>
              <w:t>2.技术人员、质量检验人员、安装人员、指挥、司机、焊工、电工等人员数量、专业、职称或者学历、工作经历、资格及在岗情况满足相应许可级别要求，具体按附表2核查。</w:t>
            </w:r>
          </w:p>
          <w:p w14:paraId="23F73791">
            <w:pPr>
              <w:adjustRightInd w:val="0"/>
              <w:snapToGrid w:val="0"/>
              <w:rPr>
                <w:rFonts w:hint="eastAsia" w:ascii="宋体" w:hAnsi="宋体" w:eastAsia="宋体" w:cs="宋体"/>
                <w:color w:val="auto"/>
              </w:rPr>
            </w:pPr>
            <w:r>
              <w:rPr>
                <w:rFonts w:hint="eastAsia" w:ascii="宋体" w:hAnsi="宋体" w:eastAsia="宋体" w:cs="宋体"/>
                <w:color w:val="auto"/>
              </w:rPr>
              <w:t>3.配备至少4名维护保养技术人员，均应取得特种作业证书(高处作业)以及与工种相匹配的电工作业操作证书或焊接与热切割作业操作证书；</w:t>
            </w:r>
          </w:p>
          <w:p w14:paraId="3683E1A1">
            <w:pPr>
              <w:adjustRightInd w:val="0"/>
              <w:snapToGrid w:val="0"/>
              <w:rPr>
                <w:rFonts w:hint="eastAsia" w:ascii="宋体" w:hAnsi="宋体" w:eastAsia="宋体" w:cs="宋体"/>
                <w:color w:val="auto"/>
              </w:rPr>
            </w:pPr>
            <w:r>
              <w:rPr>
                <w:rFonts w:hint="eastAsia" w:ascii="宋体" w:hAnsi="宋体" w:eastAsia="宋体" w:cs="宋体"/>
                <w:color w:val="auto"/>
              </w:rPr>
              <w:t>依据：TSG 07—2019第2.2.1条、附件H H1.1和H3，</w:t>
            </w:r>
            <w:r>
              <w:rPr>
                <w:rFonts w:ascii="宋体" w:hAnsi="宋体" w:eastAsia="宋体" w:cs="宋体"/>
                <w:color w:val="auto"/>
              </w:rPr>
              <w:t>DB3202</w:t>
            </w:r>
            <w:r>
              <w:rPr>
                <w:rFonts w:hint="eastAsia" w:ascii="宋体" w:hAnsi="宋体" w:eastAsia="宋体" w:cs="宋体"/>
                <w:color w:val="auto"/>
              </w:rPr>
              <w:t>/</w:t>
            </w:r>
            <w:r>
              <w:rPr>
                <w:rFonts w:ascii="宋体" w:hAnsi="宋体" w:eastAsia="宋体" w:cs="宋体"/>
                <w:color w:val="auto"/>
              </w:rPr>
              <w:t>T 1051-2023</w:t>
            </w:r>
            <w:r>
              <w:rPr>
                <w:rFonts w:hint="eastAsia" w:ascii="宋体" w:hAnsi="宋体" w:eastAsia="宋体" w:cs="宋体"/>
                <w:color w:val="auto"/>
              </w:rPr>
              <w:t>中6.1.1</w:t>
            </w:r>
          </w:p>
        </w:tc>
      </w:tr>
      <w:tr w14:paraId="43B9C8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9" w:hRule="atLeast"/>
          <w:jc w:val="center"/>
        </w:trPr>
        <w:tc>
          <w:tcPr>
            <w:tcW w:w="801" w:type="dxa"/>
            <w:vAlign w:val="center"/>
          </w:tcPr>
          <w:p w14:paraId="6B30C804">
            <w:pPr>
              <w:pStyle w:val="35"/>
              <w:kinsoku w:val="0"/>
              <w:overflowPunct w:val="0"/>
              <w:adjustRightInd w:val="0"/>
              <w:snapToGrid w:val="0"/>
              <w:ind w:left="102"/>
              <w:jc w:val="center"/>
              <w:rPr>
                <w:rFonts w:hint="eastAsia" w:ascii="宋体" w:hAnsi="宋体" w:eastAsia="宋体" w:cs="宋体"/>
                <w:color w:val="auto"/>
                <w:szCs w:val="21"/>
              </w:rPr>
            </w:pPr>
            <w:r>
              <w:rPr>
                <w:rFonts w:hint="eastAsia" w:ascii="宋体" w:hAnsi="宋体" w:eastAsia="宋体" w:cs="宋体"/>
                <w:color w:val="auto"/>
                <w:szCs w:val="21"/>
              </w:rPr>
              <w:t>4</w:t>
            </w:r>
          </w:p>
        </w:tc>
        <w:tc>
          <w:tcPr>
            <w:tcW w:w="1290" w:type="dxa"/>
            <w:vAlign w:val="center"/>
          </w:tcPr>
          <w:p w14:paraId="7EC87D9F">
            <w:pPr>
              <w:pStyle w:val="35"/>
              <w:kinsoku w:val="0"/>
              <w:overflowPunct w:val="0"/>
              <w:adjustRightInd w:val="0"/>
              <w:snapToGrid w:val="0"/>
              <w:ind w:left="102"/>
              <w:jc w:val="center"/>
              <w:rPr>
                <w:rFonts w:hint="eastAsia" w:ascii="宋体" w:hAnsi="宋体" w:eastAsia="宋体" w:cs="宋体"/>
                <w:color w:val="auto"/>
                <w:szCs w:val="21"/>
              </w:rPr>
            </w:pPr>
            <w:r>
              <w:rPr>
                <w:rFonts w:hint="eastAsia" w:ascii="宋体" w:hAnsi="宋体" w:eastAsia="宋体" w:cs="宋体"/>
                <w:color w:val="auto"/>
                <w:szCs w:val="21"/>
              </w:rPr>
              <w:t>质量保证体系组织</w:t>
            </w:r>
          </w:p>
        </w:tc>
        <w:tc>
          <w:tcPr>
            <w:tcW w:w="7583" w:type="dxa"/>
            <w:vAlign w:val="center"/>
          </w:tcPr>
          <w:p w14:paraId="710059D4">
            <w:pPr>
              <w:adjustRightInd w:val="0"/>
              <w:snapToGrid w:val="0"/>
              <w:rPr>
                <w:rFonts w:hint="eastAsia" w:ascii="宋体" w:hAnsi="宋体" w:eastAsia="宋体" w:cs="宋体"/>
                <w:color w:val="auto"/>
              </w:rPr>
            </w:pPr>
            <w:r>
              <w:rPr>
                <w:rFonts w:hint="eastAsia" w:ascii="宋体" w:hAnsi="宋体" w:eastAsia="宋体" w:cs="宋体"/>
                <w:color w:val="auto"/>
              </w:rPr>
              <w:t>1.建立与许可范围相适应的质量保证体系组织，主要负责人、质量保证工程师及各质量控制系统责任人员的职责、权限和相互关系明确。</w:t>
            </w:r>
          </w:p>
          <w:p w14:paraId="0934B3A9">
            <w:pPr>
              <w:adjustRightInd w:val="0"/>
              <w:snapToGrid w:val="0"/>
              <w:rPr>
                <w:rFonts w:hint="eastAsia" w:ascii="宋体" w:hAnsi="宋体" w:eastAsia="宋体" w:cs="宋体"/>
                <w:color w:val="auto"/>
              </w:rPr>
            </w:pPr>
            <w:r>
              <w:rPr>
                <w:rFonts w:hint="eastAsia" w:ascii="宋体" w:hAnsi="宋体" w:eastAsia="宋体" w:cs="宋体"/>
                <w:color w:val="auto"/>
              </w:rPr>
              <w:t>2.质量保证工程师为管理层成员，不兼任质量控制系统责任人员；各质量控制系统责任人员配备与许可项目和施工过程相匹配。</w:t>
            </w:r>
          </w:p>
          <w:p w14:paraId="314A5099">
            <w:pPr>
              <w:adjustRightInd w:val="0"/>
              <w:snapToGrid w:val="0"/>
              <w:rPr>
                <w:rFonts w:hint="eastAsia" w:ascii="宋体" w:hAnsi="宋体" w:eastAsia="宋体" w:cs="宋体"/>
                <w:color w:val="auto"/>
              </w:rPr>
            </w:pPr>
            <w:r>
              <w:rPr>
                <w:rFonts w:hint="eastAsia" w:ascii="宋体" w:hAnsi="宋体" w:eastAsia="宋体" w:cs="宋体"/>
                <w:color w:val="auto"/>
              </w:rPr>
              <w:t>3.安装方案设计、吊装、焊接、调试、检验等控制系统有效覆盖修理和维护保养活动。</w:t>
            </w:r>
          </w:p>
          <w:p w14:paraId="6C884B33">
            <w:pPr>
              <w:adjustRightInd w:val="0"/>
              <w:snapToGrid w:val="0"/>
              <w:rPr>
                <w:rFonts w:hint="eastAsia" w:ascii="宋体" w:hAnsi="宋体" w:eastAsia="宋体" w:cs="宋体"/>
                <w:color w:val="auto"/>
              </w:rPr>
            </w:pPr>
            <w:r>
              <w:rPr>
                <w:rFonts w:hint="eastAsia" w:ascii="宋体" w:hAnsi="宋体" w:eastAsia="宋体" w:cs="宋体"/>
                <w:color w:val="auto"/>
              </w:rPr>
              <w:t>依据：TSG 07—2019附件H H1.1、附件M M1.2。</w:t>
            </w:r>
          </w:p>
        </w:tc>
      </w:tr>
      <w:tr w14:paraId="2B6807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01" w:type="dxa"/>
            <w:vAlign w:val="center"/>
          </w:tcPr>
          <w:p w14:paraId="58C19BC7">
            <w:pPr>
              <w:pStyle w:val="35"/>
              <w:kinsoku w:val="0"/>
              <w:overflowPunct w:val="0"/>
              <w:adjustRightInd w:val="0"/>
              <w:snapToGrid w:val="0"/>
              <w:ind w:left="102"/>
              <w:jc w:val="center"/>
              <w:rPr>
                <w:rFonts w:hint="eastAsia" w:ascii="宋体" w:hAnsi="宋体" w:eastAsia="宋体" w:cs="宋体"/>
                <w:color w:val="auto"/>
                <w:szCs w:val="21"/>
              </w:rPr>
            </w:pPr>
            <w:r>
              <w:rPr>
                <w:rFonts w:hint="eastAsia" w:ascii="宋体" w:hAnsi="宋体" w:eastAsia="宋体" w:cs="宋体"/>
                <w:color w:val="auto"/>
                <w:szCs w:val="21"/>
              </w:rPr>
              <w:t>5</w:t>
            </w:r>
          </w:p>
        </w:tc>
        <w:tc>
          <w:tcPr>
            <w:tcW w:w="1290" w:type="dxa"/>
            <w:vAlign w:val="center"/>
          </w:tcPr>
          <w:p w14:paraId="495D3CFB">
            <w:pPr>
              <w:pStyle w:val="35"/>
              <w:kinsoku w:val="0"/>
              <w:overflowPunct w:val="0"/>
              <w:adjustRightInd w:val="0"/>
              <w:snapToGrid w:val="0"/>
              <w:ind w:left="102"/>
              <w:jc w:val="center"/>
              <w:rPr>
                <w:rFonts w:hint="eastAsia" w:ascii="宋体" w:hAnsi="宋体" w:eastAsia="宋体" w:cs="宋体"/>
                <w:color w:val="auto"/>
                <w:szCs w:val="21"/>
              </w:rPr>
            </w:pPr>
            <w:r>
              <w:rPr>
                <w:rFonts w:hint="eastAsia" w:ascii="宋体" w:hAnsi="宋体" w:eastAsia="宋体" w:cs="宋体"/>
                <w:color w:val="auto"/>
                <w:szCs w:val="21"/>
              </w:rPr>
              <w:t>质量安全主体责任</w:t>
            </w:r>
          </w:p>
        </w:tc>
        <w:tc>
          <w:tcPr>
            <w:tcW w:w="7583" w:type="dxa"/>
            <w:vAlign w:val="center"/>
          </w:tcPr>
          <w:p w14:paraId="2EC34692">
            <w:pPr>
              <w:adjustRightInd w:val="0"/>
              <w:snapToGrid w:val="0"/>
              <w:rPr>
                <w:rFonts w:hint="eastAsia" w:ascii="宋体" w:hAnsi="宋体" w:eastAsia="宋体" w:cs="宋体"/>
                <w:color w:val="auto"/>
              </w:rPr>
            </w:pPr>
            <w:r>
              <w:rPr>
                <w:rFonts w:hint="eastAsia" w:ascii="宋体" w:hAnsi="宋体" w:eastAsia="宋体" w:cs="宋体"/>
                <w:color w:val="auto"/>
              </w:rPr>
              <w:t>1.主要负责人履行特种设备质量安全第一责任人职责。</w:t>
            </w:r>
          </w:p>
          <w:p w14:paraId="57E50749">
            <w:pPr>
              <w:adjustRightInd w:val="0"/>
              <w:snapToGrid w:val="0"/>
              <w:rPr>
                <w:rFonts w:hint="eastAsia" w:ascii="宋体" w:hAnsi="宋体" w:eastAsia="宋体" w:cs="宋体"/>
                <w:color w:val="auto"/>
              </w:rPr>
            </w:pPr>
            <w:r>
              <w:rPr>
                <w:rFonts w:hint="eastAsia" w:ascii="宋体" w:hAnsi="宋体" w:eastAsia="宋体" w:cs="宋体"/>
                <w:color w:val="auto"/>
              </w:rPr>
              <w:t>2.按规定设置质量安全总监、质量安全员，具有任命文件、岗位职责和履职记录；可按规则由质量保证工程师、相关质量控制系统责任人员兼任。</w:t>
            </w:r>
          </w:p>
          <w:p w14:paraId="276FD8E4">
            <w:pPr>
              <w:adjustRightInd w:val="0"/>
              <w:snapToGrid w:val="0"/>
              <w:rPr>
                <w:rFonts w:hint="eastAsia" w:ascii="宋体" w:hAnsi="宋体" w:eastAsia="宋体" w:cs="宋体"/>
                <w:color w:val="auto"/>
              </w:rPr>
            </w:pPr>
            <w:r>
              <w:rPr>
                <w:rFonts w:hint="eastAsia" w:ascii="宋体" w:hAnsi="宋体" w:eastAsia="宋体" w:cs="宋体"/>
                <w:color w:val="auto"/>
              </w:rPr>
              <w:t>3.建立并有效实施《质量安全风险管控清单》及日管控、周排查、月调度机制，保存检查、排查、调度、整改闭环和人员培训考核记录。</w:t>
            </w:r>
          </w:p>
          <w:p w14:paraId="18F934B7">
            <w:pPr>
              <w:adjustRightInd w:val="0"/>
              <w:snapToGrid w:val="0"/>
              <w:rPr>
                <w:rFonts w:hint="eastAsia" w:ascii="宋体" w:hAnsi="宋体" w:eastAsia="宋体" w:cs="宋体"/>
                <w:color w:val="auto"/>
              </w:rPr>
            </w:pPr>
            <w:r>
              <w:rPr>
                <w:rFonts w:hint="eastAsia" w:ascii="宋体" w:hAnsi="宋体" w:eastAsia="宋体" w:cs="宋体"/>
                <w:color w:val="auto"/>
              </w:rPr>
              <w:t>依据：TSG 07—2019第2.1.2条及第2号修改单、附件M M1.1和M1.2.3。</w:t>
            </w:r>
          </w:p>
        </w:tc>
      </w:tr>
      <w:tr w14:paraId="4F8AC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01" w:type="dxa"/>
            <w:vAlign w:val="center"/>
          </w:tcPr>
          <w:p w14:paraId="14862DC6">
            <w:pPr>
              <w:pStyle w:val="35"/>
              <w:kinsoku w:val="0"/>
              <w:overflowPunct w:val="0"/>
              <w:adjustRightInd w:val="0"/>
              <w:snapToGrid w:val="0"/>
              <w:ind w:left="102"/>
              <w:jc w:val="center"/>
              <w:rPr>
                <w:rFonts w:hint="eastAsia" w:ascii="宋体" w:hAnsi="宋体" w:eastAsia="宋体" w:cs="宋体"/>
                <w:color w:val="auto"/>
                <w:szCs w:val="21"/>
              </w:rPr>
            </w:pPr>
            <w:r>
              <w:rPr>
                <w:rFonts w:hint="eastAsia" w:ascii="宋体" w:hAnsi="宋体" w:eastAsia="宋体" w:cs="宋体"/>
                <w:color w:val="auto"/>
                <w:szCs w:val="21"/>
              </w:rPr>
              <w:t>6</w:t>
            </w:r>
          </w:p>
        </w:tc>
        <w:tc>
          <w:tcPr>
            <w:tcW w:w="1290" w:type="dxa"/>
            <w:vAlign w:val="center"/>
          </w:tcPr>
          <w:p w14:paraId="50F69978">
            <w:pPr>
              <w:pStyle w:val="35"/>
              <w:kinsoku w:val="0"/>
              <w:overflowPunct w:val="0"/>
              <w:adjustRightInd w:val="0"/>
              <w:snapToGrid w:val="0"/>
              <w:ind w:left="102"/>
              <w:jc w:val="center"/>
              <w:rPr>
                <w:rFonts w:hint="eastAsia" w:ascii="宋体" w:hAnsi="宋体" w:eastAsia="宋体" w:cs="宋体"/>
                <w:color w:val="auto"/>
                <w:szCs w:val="21"/>
              </w:rPr>
            </w:pPr>
            <w:r>
              <w:rPr>
                <w:rFonts w:hint="eastAsia" w:ascii="宋体" w:hAnsi="宋体" w:eastAsia="宋体" w:cs="宋体"/>
                <w:color w:val="auto"/>
                <w:szCs w:val="21"/>
              </w:rPr>
              <w:t>质量保证体系文件</w:t>
            </w:r>
          </w:p>
        </w:tc>
        <w:tc>
          <w:tcPr>
            <w:tcW w:w="7583" w:type="dxa"/>
            <w:vAlign w:val="center"/>
          </w:tcPr>
          <w:p w14:paraId="16CF56FB">
            <w:pPr>
              <w:adjustRightInd w:val="0"/>
              <w:snapToGrid w:val="0"/>
              <w:rPr>
                <w:rFonts w:hint="eastAsia" w:ascii="宋体" w:hAnsi="宋体" w:eastAsia="宋体" w:cs="宋体"/>
                <w:color w:val="auto"/>
              </w:rPr>
            </w:pPr>
            <w:r>
              <w:rPr>
                <w:rFonts w:hint="eastAsia" w:ascii="宋体" w:hAnsi="宋体" w:eastAsia="宋体" w:cs="宋体"/>
                <w:color w:val="auto"/>
              </w:rPr>
              <w:t>1.质量保证手册、程序文件、作业指导书、记录表卡和质量计划系统、齐全，与许可范围和单位实际相适应。</w:t>
            </w:r>
          </w:p>
          <w:p w14:paraId="16376BD2">
            <w:pPr>
              <w:adjustRightInd w:val="0"/>
              <w:snapToGrid w:val="0"/>
              <w:rPr>
                <w:rFonts w:hint="eastAsia" w:ascii="宋体" w:hAnsi="宋体" w:eastAsia="宋体" w:cs="宋体"/>
                <w:color w:val="auto"/>
              </w:rPr>
            </w:pPr>
            <w:r>
              <w:rPr>
                <w:rFonts w:hint="eastAsia" w:ascii="宋体" w:hAnsi="宋体" w:eastAsia="宋体" w:cs="宋体"/>
                <w:color w:val="auto"/>
              </w:rPr>
              <w:t>2.文件明确质量方针、量化质量目标、组织职责及文件记录、合同、材料零部件、工艺、焊接、检验试验、设备、人员、改进、许可制度等控制要求。</w:t>
            </w:r>
          </w:p>
          <w:p w14:paraId="381F0BFA">
            <w:pPr>
              <w:adjustRightInd w:val="0"/>
              <w:snapToGrid w:val="0"/>
              <w:rPr>
                <w:rFonts w:hint="eastAsia" w:ascii="宋体" w:hAnsi="宋体" w:eastAsia="宋体" w:cs="宋体"/>
                <w:color w:val="auto"/>
              </w:rPr>
            </w:pPr>
            <w:r>
              <w:rPr>
                <w:rFonts w:hint="eastAsia" w:ascii="宋体" w:hAnsi="宋体" w:eastAsia="宋体" w:cs="宋体"/>
                <w:color w:val="auto"/>
              </w:rPr>
              <w:t>3.质量计划合理设置控制环节和检查点、审核点、见证点、停止点及签字确认要求，并在项目中实施。</w:t>
            </w:r>
          </w:p>
          <w:p w14:paraId="1F6A63FE">
            <w:pPr>
              <w:adjustRightInd w:val="0"/>
              <w:snapToGrid w:val="0"/>
              <w:rPr>
                <w:rFonts w:hint="eastAsia" w:ascii="宋体" w:hAnsi="宋体" w:eastAsia="宋体" w:cs="宋体"/>
                <w:color w:val="auto"/>
              </w:rPr>
            </w:pPr>
            <w:r>
              <w:rPr>
                <w:rFonts w:hint="eastAsia" w:ascii="宋体" w:hAnsi="宋体" w:eastAsia="宋体" w:cs="宋体"/>
                <w:color w:val="auto"/>
              </w:rPr>
              <w:t>依据：TSG 07—2019附件M M1.1、M2、M3。</w:t>
            </w:r>
          </w:p>
        </w:tc>
      </w:tr>
      <w:tr w14:paraId="4A5F82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01" w:type="dxa"/>
            <w:vAlign w:val="center"/>
          </w:tcPr>
          <w:p w14:paraId="06DEF4E9">
            <w:pPr>
              <w:pStyle w:val="35"/>
              <w:kinsoku w:val="0"/>
              <w:overflowPunct w:val="0"/>
              <w:adjustRightInd w:val="0"/>
              <w:snapToGrid w:val="0"/>
              <w:ind w:left="102"/>
              <w:jc w:val="center"/>
              <w:rPr>
                <w:rFonts w:hint="eastAsia" w:ascii="宋体" w:hAnsi="宋体" w:eastAsia="宋体" w:cs="宋体"/>
                <w:color w:val="auto"/>
                <w:szCs w:val="21"/>
              </w:rPr>
            </w:pPr>
            <w:r>
              <w:rPr>
                <w:rFonts w:hint="eastAsia" w:ascii="宋体" w:hAnsi="宋体" w:eastAsia="宋体" w:cs="宋体"/>
                <w:color w:val="auto"/>
                <w:szCs w:val="21"/>
              </w:rPr>
              <w:t>7</w:t>
            </w:r>
          </w:p>
        </w:tc>
        <w:tc>
          <w:tcPr>
            <w:tcW w:w="1290" w:type="dxa"/>
            <w:vAlign w:val="center"/>
          </w:tcPr>
          <w:p w14:paraId="191F7E6F">
            <w:pPr>
              <w:pStyle w:val="35"/>
              <w:kinsoku w:val="0"/>
              <w:overflowPunct w:val="0"/>
              <w:adjustRightInd w:val="0"/>
              <w:snapToGrid w:val="0"/>
              <w:ind w:left="102"/>
              <w:jc w:val="center"/>
              <w:rPr>
                <w:rFonts w:hint="eastAsia" w:ascii="宋体" w:hAnsi="宋体" w:eastAsia="宋体" w:cs="宋体"/>
                <w:color w:val="auto"/>
                <w:szCs w:val="21"/>
              </w:rPr>
            </w:pPr>
            <w:r>
              <w:rPr>
                <w:rFonts w:hint="eastAsia" w:ascii="宋体" w:hAnsi="宋体" w:eastAsia="宋体" w:cs="宋体"/>
                <w:color w:val="auto"/>
                <w:szCs w:val="21"/>
              </w:rPr>
              <w:t>法规标准与技术资料</w:t>
            </w:r>
          </w:p>
        </w:tc>
        <w:tc>
          <w:tcPr>
            <w:tcW w:w="7583" w:type="dxa"/>
            <w:vAlign w:val="center"/>
          </w:tcPr>
          <w:p w14:paraId="00AE6E60">
            <w:pPr>
              <w:adjustRightInd w:val="0"/>
              <w:snapToGrid w:val="0"/>
              <w:rPr>
                <w:rFonts w:hint="eastAsia" w:ascii="宋体" w:hAnsi="宋体" w:eastAsia="宋体" w:cs="宋体"/>
                <w:color w:val="auto"/>
              </w:rPr>
            </w:pPr>
            <w:r>
              <w:rPr>
                <w:rFonts w:hint="eastAsia" w:ascii="宋体" w:hAnsi="宋体" w:eastAsia="宋体" w:cs="宋体"/>
                <w:color w:val="auto"/>
              </w:rPr>
              <w:t>1.配备与许可范围相适应的现行法律、法规、规章、安全技术规范及相关标准，并纳入外来文件控制，使用合法出版的有效版本。</w:t>
            </w:r>
          </w:p>
          <w:p w14:paraId="6DE0C068">
            <w:pPr>
              <w:adjustRightInd w:val="0"/>
              <w:snapToGrid w:val="0"/>
              <w:rPr>
                <w:rFonts w:hint="eastAsia" w:ascii="宋体" w:hAnsi="宋体" w:eastAsia="宋体" w:cs="宋体"/>
                <w:color w:val="auto"/>
              </w:rPr>
            </w:pPr>
            <w:r>
              <w:rPr>
                <w:rFonts w:hint="eastAsia" w:ascii="宋体" w:hAnsi="宋体" w:eastAsia="宋体" w:cs="宋体"/>
                <w:color w:val="auto"/>
              </w:rPr>
              <w:t>2.具有相应起重机械的设计图样、电气（液压）原理图、安装使用维护保养说明、工艺文件、修理方案（作业指导书）和检验规程，内容满足安全技术规范及产品标准。</w:t>
            </w:r>
          </w:p>
          <w:p w14:paraId="21A40529">
            <w:pPr>
              <w:adjustRightInd w:val="0"/>
              <w:snapToGrid w:val="0"/>
              <w:rPr>
                <w:rFonts w:hint="eastAsia" w:ascii="宋体" w:hAnsi="宋体" w:eastAsia="宋体" w:cs="宋体"/>
                <w:color w:val="auto"/>
              </w:rPr>
            </w:pPr>
            <w:r>
              <w:rPr>
                <w:rFonts w:hint="eastAsia" w:ascii="宋体" w:hAnsi="宋体" w:eastAsia="宋体" w:cs="宋体"/>
                <w:color w:val="auto"/>
              </w:rPr>
              <w:t>3.技术文件的适用范围、版本、审批和变更受控，现场能够取得有效版本。</w:t>
            </w:r>
          </w:p>
          <w:p w14:paraId="68421654">
            <w:pPr>
              <w:adjustRightInd w:val="0"/>
              <w:snapToGrid w:val="0"/>
              <w:rPr>
                <w:rFonts w:hint="eastAsia" w:ascii="宋体" w:hAnsi="宋体" w:eastAsia="宋体" w:cs="宋体"/>
                <w:color w:val="auto"/>
              </w:rPr>
            </w:pPr>
            <w:r>
              <w:rPr>
                <w:rFonts w:hint="eastAsia" w:ascii="宋体" w:hAnsi="宋体" w:eastAsia="宋体" w:cs="宋体"/>
                <w:color w:val="auto"/>
              </w:rPr>
              <w:t>依据：TSG 07—2019第2.1.1条、附件H H1.7、附件M M3.1。</w:t>
            </w:r>
          </w:p>
        </w:tc>
      </w:tr>
      <w:tr w14:paraId="0BBF12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01" w:type="dxa"/>
            <w:vAlign w:val="center"/>
          </w:tcPr>
          <w:p w14:paraId="15FE0837">
            <w:pPr>
              <w:pStyle w:val="35"/>
              <w:kinsoku w:val="0"/>
              <w:overflowPunct w:val="0"/>
              <w:adjustRightInd w:val="0"/>
              <w:snapToGrid w:val="0"/>
              <w:ind w:left="102"/>
              <w:jc w:val="center"/>
              <w:rPr>
                <w:rFonts w:hint="eastAsia" w:ascii="宋体" w:hAnsi="宋体" w:eastAsia="宋体" w:cs="宋体"/>
                <w:color w:val="auto"/>
                <w:szCs w:val="21"/>
              </w:rPr>
            </w:pPr>
            <w:r>
              <w:rPr>
                <w:rFonts w:hint="eastAsia" w:ascii="宋体" w:hAnsi="宋体" w:eastAsia="宋体" w:cs="宋体"/>
                <w:color w:val="auto"/>
                <w:szCs w:val="21"/>
              </w:rPr>
              <w:t>8</w:t>
            </w:r>
          </w:p>
        </w:tc>
        <w:tc>
          <w:tcPr>
            <w:tcW w:w="1290" w:type="dxa"/>
            <w:vAlign w:val="center"/>
          </w:tcPr>
          <w:p w14:paraId="4D2187D0">
            <w:pPr>
              <w:pStyle w:val="35"/>
              <w:kinsoku w:val="0"/>
              <w:overflowPunct w:val="0"/>
              <w:adjustRightInd w:val="0"/>
              <w:snapToGrid w:val="0"/>
              <w:ind w:left="102"/>
              <w:jc w:val="center"/>
              <w:rPr>
                <w:rFonts w:hint="eastAsia" w:ascii="宋体" w:hAnsi="宋体" w:eastAsia="宋体" w:cs="宋体"/>
                <w:color w:val="auto"/>
                <w:szCs w:val="21"/>
              </w:rPr>
            </w:pPr>
            <w:r>
              <w:rPr>
                <w:rFonts w:hint="eastAsia" w:ascii="宋体" w:hAnsi="宋体" w:eastAsia="宋体" w:cs="宋体"/>
                <w:color w:val="auto"/>
                <w:szCs w:val="21"/>
              </w:rPr>
              <w:t>安装设备与检测仪器</w:t>
            </w:r>
          </w:p>
        </w:tc>
        <w:tc>
          <w:tcPr>
            <w:tcW w:w="7583" w:type="dxa"/>
            <w:vAlign w:val="center"/>
          </w:tcPr>
          <w:p w14:paraId="6FCB0648">
            <w:pPr>
              <w:adjustRightInd w:val="0"/>
              <w:snapToGrid w:val="0"/>
              <w:rPr>
                <w:rFonts w:hint="eastAsia" w:ascii="宋体" w:hAnsi="宋体" w:eastAsia="宋体" w:cs="宋体"/>
                <w:color w:val="auto"/>
              </w:rPr>
            </w:pPr>
            <w:r>
              <w:rPr>
                <w:rFonts w:hint="eastAsia" w:ascii="宋体" w:hAnsi="宋体" w:eastAsia="宋体" w:cs="宋体"/>
                <w:color w:val="auto"/>
              </w:rPr>
              <w:t>1.按许可项目配备气体保护焊机、电焊机、切割设备、手拉葫芦、千斤顶、力矩扳手等施工设备，数量和能力满足相应专项条件。</w:t>
            </w:r>
          </w:p>
          <w:p w14:paraId="26B3E4A9">
            <w:pPr>
              <w:adjustRightInd w:val="0"/>
              <w:snapToGrid w:val="0"/>
              <w:rPr>
                <w:rFonts w:hint="eastAsia" w:ascii="宋体" w:hAnsi="宋体" w:eastAsia="宋体" w:cs="宋体"/>
                <w:color w:val="auto"/>
              </w:rPr>
            </w:pPr>
            <w:r>
              <w:rPr>
                <w:rFonts w:hint="eastAsia" w:ascii="宋体" w:hAnsi="宋体" w:eastAsia="宋体" w:cs="宋体"/>
                <w:color w:val="auto"/>
              </w:rPr>
              <w:t>2.配备经纬仪、水准仪、噪声检测仪器、绝缘电阻和接地电阻检测仪器、万用表、激光测距仪、50m钢卷尺、超声波测厚仪等适用检测仪器。</w:t>
            </w:r>
          </w:p>
          <w:p w14:paraId="6DF33E62">
            <w:pPr>
              <w:adjustRightInd w:val="0"/>
              <w:snapToGrid w:val="0"/>
              <w:rPr>
                <w:rFonts w:hint="eastAsia" w:ascii="宋体" w:hAnsi="宋体" w:eastAsia="宋体" w:cs="宋体"/>
                <w:color w:val="auto"/>
              </w:rPr>
            </w:pPr>
            <w:r>
              <w:rPr>
                <w:rFonts w:hint="eastAsia" w:ascii="宋体" w:hAnsi="宋体" w:eastAsia="宋体" w:cs="宋体"/>
                <w:color w:val="auto"/>
              </w:rPr>
              <w:t>3.建立设备、仪器台账和档案，实施验收、使用、维护、检定校准、状态标识、检修和报废控制；依法需检定校准的均在有效期内。</w:t>
            </w:r>
          </w:p>
          <w:p w14:paraId="1A640FCE">
            <w:pPr>
              <w:adjustRightInd w:val="0"/>
              <w:snapToGrid w:val="0"/>
              <w:rPr>
                <w:rFonts w:hint="eastAsia" w:ascii="宋体" w:hAnsi="宋体" w:eastAsia="宋体" w:cs="宋体"/>
                <w:color w:val="auto"/>
              </w:rPr>
            </w:pPr>
            <w:r>
              <w:rPr>
                <w:rFonts w:hint="eastAsia" w:ascii="宋体" w:hAnsi="宋体" w:eastAsia="宋体" w:cs="宋体"/>
                <w:color w:val="auto"/>
              </w:rPr>
              <w:t>依据：TSG 07—2019第2.2.2.2条、附件H H1.2.2、H3.1.3、H3.2.3、H3.3.3及附件M M3.11。</w:t>
            </w:r>
          </w:p>
        </w:tc>
      </w:tr>
      <w:tr w14:paraId="21F868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01" w:type="dxa"/>
            <w:vAlign w:val="center"/>
          </w:tcPr>
          <w:p w14:paraId="57B959B5">
            <w:pPr>
              <w:pStyle w:val="35"/>
              <w:kinsoku w:val="0"/>
              <w:overflowPunct w:val="0"/>
              <w:adjustRightInd w:val="0"/>
              <w:snapToGrid w:val="0"/>
              <w:ind w:left="102"/>
              <w:jc w:val="center"/>
              <w:rPr>
                <w:rFonts w:hint="eastAsia" w:ascii="宋体" w:hAnsi="宋体" w:eastAsia="宋体" w:cs="宋体"/>
                <w:color w:val="auto"/>
                <w:szCs w:val="21"/>
              </w:rPr>
            </w:pPr>
            <w:r>
              <w:rPr>
                <w:rFonts w:hint="eastAsia" w:ascii="宋体" w:hAnsi="宋体" w:eastAsia="宋体" w:cs="宋体"/>
                <w:color w:val="auto"/>
                <w:szCs w:val="21"/>
              </w:rPr>
              <w:t>9</w:t>
            </w:r>
          </w:p>
        </w:tc>
        <w:tc>
          <w:tcPr>
            <w:tcW w:w="1290" w:type="dxa"/>
            <w:vAlign w:val="center"/>
          </w:tcPr>
          <w:p w14:paraId="3C27299F">
            <w:pPr>
              <w:pStyle w:val="35"/>
              <w:kinsoku w:val="0"/>
              <w:overflowPunct w:val="0"/>
              <w:adjustRightInd w:val="0"/>
              <w:snapToGrid w:val="0"/>
              <w:ind w:left="102"/>
              <w:jc w:val="center"/>
              <w:rPr>
                <w:rFonts w:hint="eastAsia" w:ascii="宋体" w:hAnsi="宋体" w:eastAsia="宋体" w:cs="宋体"/>
                <w:color w:val="auto"/>
                <w:szCs w:val="21"/>
              </w:rPr>
            </w:pPr>
            <w:r>
              <w:rPr>
                <w:rFonts w:hint="eastAsia" w:ascii="宋体" w:hAnsi="宋体" w:eastAsia="宋体" w:cs="宋体"/>
                <w:color w:val="auto"/>
                <w:szCs w:val="21"/>
              </w:rPr>
              <w:t>合同控制与维保台账</w:t>
            </w:r>
          </w:p>
        </w:tc>
        <w:tc>
          <w:tcPr>
            <w:tcW w:w="7583" w:type="dxa"/>
            <w:vAlign w:val="center"/>
          </w:tcPr>
          <w:p w14:paraId="0473F95D">
            <w:pPr>
              <w:adjustRightInd w:val="0"/>
              <w:snapToGrid w:val="0"/>
              <w:rPr>
                <w:rFonts w:hint="eastAsia" w:ascii="宋体" w:hAnsi="宋体" w:eastAsia="宋体" w:cs="宋体"/>
                <w:color w:val="auto"/>
              </w:rPr>
            </w:pPr>
            <w:r>
              <w:rPr>
                <w:rFonts w:hint="eastAsia" w:ascii="宋体" w:hAnsi="宋体" w:eastAsia="宋体" w:cs="宋体"/>
                <w:color w:val="auto"/>
              </w:rPr>
              <w:t>1.维保、修理合同在许可范围内，明确执行的法规、安全技术规范、标准和技术条件；合同签订、修改、会签及评审程序受控并形成记录。</w:t>
            </w:r>
          </w:p>
          <w:p w14:paraId="561C12D2">
            <w:pPr>
              <w:adjustRightInd w:val="0"/>
              <w:snapToGrid w:val="0"/>
              <w:rPr>
                <w:rFonts w:hint="eastAsia" w:ascii="宋体" w:hAnsi="宋体" w:eastAsia="宋体" w:cs="宋体"/>
                <w:color w:val="auto"/>
              </w:rPr>
            </w:pPr>
            <w:r>
              <w:rPr>
                <w:rFonts w:hint="eastAsia" w:ascii="宋体" w:hAnsi="宋体" w:eastAsia="宋体" w:cs="宋体"/>
                <w:color w:val="auto"/>
              </w:rPr>
              <w:t>2.建立所维保起重机械台账，设备品种、参数、使用单位、使用地点、合同期限等信息与合同和现场一致。</w:t>
            </w:r>
          </w:p>
          <w:p w14:paraId="1EEC7676">
            <w:pPr>
              <w:adjustRightInd w:val="0"/>
              <w:snapToGrid w:val="0"/>
              <w:rPr>
                <w:rFonts w:hint="eastAsia" w:ascii="宋体" w:hAnsi="宋体" w:eastAsia="宋体" w:cs="宋体"/>
                <w:color w:val="auto"/>
              </w:rPr>
            </w:pPr>
            <w:r>
              <w:rPr>
                <w:rFonts w:hint="eastAsia" w:ascii="宋体" w:hAnsi="宋体" w:eastAsia="宋体" w:cs="宋体"/>
                <w:color w:val="auto"/>
              </w:rPr>
              <w:t>3.根据设备状况和适用安全技术规范制定维护保养、修理计划，并对计划变更、实施和完成情况进行记录。</w:t>
            </w:r>
          </w:p>
          <w:p w14:paraId="2EE1F700">
            <w:pPr>
              <w:adjustRightInd w:val="0"/>
              <w:snapToGrid w:val="0"/>
              <w:rPr>
                <w:rFonts w:hint="eastAsia" w:ascii="宋体" w:hAnsi="宋体" w:eastAsia="宋体" w:cs="宋体"/>
                <w:color w:val="auto"/>
              </w:rPr>
            </w:pPr>
            <w:r>
              <w:rPr>
                <w:rFonts w:hint="eastAsia" w:ascii="宋体" w:hAnsi="宋体" w:eastAsia="宋体" w:cs="宋体"/>
                <w:color w:val="auto"/>
              </w:rPr>
              <w:t>4.</w:t>
            </w:r>
            <w:r>
              <w:rPr>
                <w:rFonts w:ascii="宋体" w:hAnsi="宋体" w:eastAsia="宋体" w:cs="宋体"/>
                <w:color w:val="auto"/>
              </w:rPr>
              <w:t>维护保养合同服务期限不得少于12个月。</w:t>
            </w:r>
          </w:p>
          <w:p w14:paraId="457483FD">
            <w:pPr>
              <w:adjustRightInd w:val="0"/>
              <w:snapToGrid w:val="0"/>
              <w:rPr>
                <w:rFonts w:hint="eastAsia" w:ascii="宋体" w:hAnsi="宋体" w:eastAsia="宋体" w:cs="宋体"/>
                <w:color w:val="auto"/>
              </w:rPr>
            </w:pPr>
            <w:r>
              <w:rPr>
                <w:rFonts w:hint="eastAsia" w:ascii="宋体" w:hAnsi="宋体" w:eastAsia="宋体" w:cs="宋体"/>
                <w:color w:val="auto"/>
              </w:rPr>
              <w:t>依据：TSG 07—2019附件M M3.2、M3.5，</w:t>
            </w:r>
            <w:r>
              <w:rPr>
                <w:rFonts w:ascii="宋体" w:hAnsi="宋体" w:eastAsia="宋体" w:cs="宋体"/>
                <w:color w:val="auto"/>
              </w:rPr>
              <w:t>DB3202</w:t>
            </w:r>
            <w:r>
              <w:rPr>
                <w:rFonts w:hint="eastAsia" w:ascii="宋体" w:hAnsi="宋体" w:eastAsia="宋体" w:cs="宋体"/>
                <w:color w:val="auto"/>
              </w:rPr>
              <w:t>/</w:t>
            </w:r>
            <w:r>
              <w:rPr>
                <w:rFonts w:ascii="宋体" w:hAnsi="宋体" w:eastAsia="宋体" w:cs="宋体"/>
                <w:color w:val="auto"/>
              </w:rPr>
              <w:t>T 1051-2023</w:t>
            </w:r>
            <w:r>
              <w:rPr>
                <w:rFonts w:hint="eastAsia" w:ascii="宋体" w:hAnsi="宋体" w:eastAsia="宋体" w:cs="宋体"/>
                <w:color w:val="auto"/>
              </w:rPr>
              <w:t>中5.6</w:t>
            </w:r>
          </w:p>
        </w:tc>
      </w:tr>
      <w:tr w14:paraId="4FCD02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01" w:type="dxa"/>
            <w:vAlign w:val="center"/>
          </w:tcPr>
          <w:p w14:paraId="4A3B5488">
            <w:pPr>
              <w:pStyle w:val="35"/>
              <w:kinsoku w:val="0"/>
              <w:overflowPunct w:val="0"/>
              <w:adjustRightInd w:val="0"/>
              <w:snapToGrid w:val="0"/>
              <w:ind w:left="102"/>
              <w:jc w:val="center"/>
              <w:rPr>
                <w:rFonts w:hint="eastAsia" w:ascii="宋体" w:hAnsi="宋体" w:eastAsia="宋体" w:cs="宋体"/>
                <w:color w:val="auto"/>
                <w:szCs w:val="21"/>
              </w:rPr>
            </w:pPr>
            <w:r>
              <w:rPr>
                <w:rFonts w:hint="eastAsia" w:ascii="宋体" w:hAnsi="宋体" w:eastAsia="宋体" w:cs="宋体"/>
                <w:color w:val="auto"/>
                <w:szCs w:val="21"/>
              </w:rPr>
              <w:t>10</w:t>
            </w:r>
          </w:p>
        </w:tc>
        <w:tc>
          <w:tcPr>
            <w:tcW w:w="1290" w:type="dxa"/>
            <w:vAlign w:val="center"/>
          </w:tcPr>
          <w:p w14:paraId="5EB7CED1">
            <w:pPr>
              <w:pStyle w:val="35"/>
              <w:kinsoku w:val="0"/>
              <w:overflowPunct w:val="0"/>
              <w:adjustRightInd w:val="0"/>
              <w:snapToGrid w:val="0"/>
              <w:ind w:left="102"/>
              <w:jc w:val="center"/>
              <w:rPr>
                <w:rFonts w:hint="eastAsia" w:ascii="宋体" w:hAnsi="宋体" w:eastAsia="宋体" w:cs="宋体"/>
                <w:color w:val="auto"/>
                <w:szCs w:val="21"/>
              </w:rPr>
            </w:pPr>
            <w:r>
              <w:rPr>
                <w:rFonts w:hint="eastAsia" w:ascii="宋体" w:hAnsi="宋体" w:eastAsia="宋体" w:cs="宋体"/>
                <w:color w:val="auto"/>
                <w:szCs w:val="21"/>
              </w:rPr>
              <w:t>材料、零部件与外委控制</w:t>
            </w:r>
          </w:p>
        </w:tc>
        <w:tc>
          <w:tcPr>
            <w:tcW w:w="7583" w:type="dxa"/>
            <w:vAlign w:val="center"/>
          </w:tcPr>
          <w:p w14:paraId="49437E70">
            <w:pPr>
              <w:adjustRightInd w:val="0"/>
              <w:snapToGrid w:val="0"/>
              <w:rPr>
                <w:rFonts w:hint="eastAsia" w:ascii="宋体" w:hAnsi="宋体" w:eastAsia="宋体" w:cs="宋体"/>
                <w:color w:val="auto"/>
              </w:rPr>
            </w:pPr>
            <w:r>
              <w:rPr>
                <w:rFonts w:hint="eastAsia" w:ascii="宋体" w:hAnsi="宋体" w:eastAsia="宋体" w:cs="宋体"/>
                <w:color w:val="auto"/>
              </w:rPr>
              <w:t>1.对修理和维护保养使用的材料、零部件实施采购、供方评价、验收（复验）、标识、存放、领用、代用和可追溯控制，质量证明文件齐全。</w:t>
            </w:r>
          </w:p>
          <w:p w14:paraId="59FCD209">
            <w:pPr>
              <w:adjustRightInd w:val="0"/>
              <w:snapToGrid w:val="0"/>
              <w:rPr>
                <w:rFonts w:hint="eastAsia" w:ascii="宋体" w:hAnsi="宋体" w:eastAsia="宋体" w:cs="宋体"/>
                <w:color w:val="auto"/>
              </w:rPr>
            </w:pPr>
            <w:r>
              <w:rPr>
                <w:rFonts w:hint="eastAsia" w:ascii="宋体" w:hAnsi="宋体" w:eastAsia="宋体" w:cs="宋体"/>
                <w:color w:val="auto"/>
              </w:rPr>
              <w:t>2.未经验收或者验收不合格的材料、零部件不得投入使用。</w:t>
            </w:r>
          </w:p>
          <w:p w14:paraId="20B98FB0">
            <w:pPr>
              <w:adjustRightInd w:val="0"/>
              <w:snapToGrid w:val="0"/>
              <w:rPr>
                <w:rFonts w:hint="eastAsia" w:ascii="宋体" w:hAnsi="宋体" w:eastAsia="宋体" w:cs="宋体"/>
                <w:color w:val="auto"/>
              </w:rPr>
            </w:pPr>
            <w:r>
              <w:rPr>
                <w:rFonts w:hint="eastAsia" w:ascii="宋体" w:hAnsi="宋体" w:eastAsia="宋体" w:cs="宋体"/>
                <w:color w:val="auto"/>
              </w:rPr>
              <w:t>3.允许外委的工作仅委托给具有相应能力或者资质的单位，签订明确质量要求的合同（协议），并对外委活动、记录和报告实施审查确认。</w:t>
            </w:r>
          </w:p>
          <w:p w14:paraId="4C861B2A">
            <w:pPr>
              <w:adjustRightInd w:val="0"/>
              <w:snapToGrid w:val="0"/>
              <w:rPr>
                <w:rFonts w:hint="eastAsia" w:ascii="宋体" w:hAnsi="宋体" w:eastAsia="宋体" w:cs="宋体"/>
                <w:color w:val="auto"/>
              </w:rPr>
            </w:pPr>
            <w:r>
              <w:rPr>
                <w:rFonts w:hint="eastAsia" w:ascii="宋体" w:hAnsi="宋体" w:eastAsia="宋体" w:cs="宋体"/>
                <w:color w:val="auto"/>
              </w:rPr>
              <w:t>依据：TSG 07—2019第2.2.3条、附件M M3.4及外委控制要求。</w:t>
            </w:r>
          </w:p>
        </w:tc>
      </w:tr>
      <w:tr w14:paraId="45EECD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01" w:type="dxa"/>
            <w:vAlign w:val="center"/>
          </w:tcPr>
          <w:p w14:paraId="26F0E0A5">
            <w:pPr>
              <w:pStyle w:val="35"/>
              <w:kinsoku w:val="0"/>
              <w:overflowPunct w:val="0"/>
              <w:adjustRightInd w:val="0"/>
              <w:snapToGrid w:val="0"/>
              <w:ind w:left="102"/>
              <w:jc w:val="center"/>
              <w:rPr>
                <w:rFonts w:hint="eastAsia" w:ascii="宋体" w:hAnsi="宋体" w:eastAsia="宋体" w:cs="宋体"/>
                <w:color w:val="auto"/>
                <w:szCs w:val="21"/>
              </w:rPr>
            </w:pPr>
            <w:r>
              <w:rPr>
                <w:rFonts w:hint="eastAsia" w:ascii="宋体" w:hAnsi="宋体" w:eastAsia="宋体" w:cs="宋体"/>
                <w:color w:val="auto"/>
                <w:szCs w:val="21"/>
              </w:rPr>
              <w:t>11</w:t>
            </w:r>
          </w:p>
        </w:tc>
        <w:tc>
          <w:tcPr>
            <w:tcW w:w="1290" w:type="dxa"/>
            <w:vAlign w:val="center"/>
          </w:tcPr>
          <w:p w14:paraId="06D3DCB4">
            <w:pPr>
              <w:pStyle w:val="35"/>
              <w:kinsoku w:val="0"/>
              <w:overflowPunct w:val="0"/>
              <w:adjustRightInd w:val="0"/>
              <w:snapToGrid w:val="0"/>
              <w:ind w:left="102"/>
              <w:jc w:val="center"/>
              <w:rPr>
                <w:rFonts w:hint="eastAsia" w:ascii="宋体" w:hAnsi="宋体" w:eastAsia="宋体" w:cs="宋体"/>
                <w:color w:val="auto"/>
                <w:szCs w:val="21"/>
              </w:rPr>
            </w:pPr>
            <w:r>
              <w:rPr>
                <w:rFonts w:hint="eastAsia" w:ascii="宋体" w:hAnsi="宋体" w:eastAsia="宋体" w:cs="宋体"/>
                <w:color w:val="auto"/>
                <w:szCs w:val="21"/>
              </w:rPr>
              <w:t>焊接及特殊过程控制</w:t>
            </w:r>
          </w:p>
        </w:tc>
        <w:tc>
          <w:tcPr>
            <w:tcW w:w="7583" w:type="dxa"/>
            <w:vAlign w:val="center"/>
          </w:tcPr>
          <w:p w14:paraId="3FC3EE21">
            <w:pPr>
              <w:adjustRightInd w:val="0"/>
              <w:snapToGrid w:val="0"/>
              <w:rPr>
                <w:rFonts w:hint="eastAsia" w:ascii="宋体" w:hAnsi="宋体" w:eastAsia="宋体" w:cs="宋体"/>
                <w:color w:val="auto"/>
              </w:rPr>
            </w:pPr>
            <w:r>
              <w:rPr>
                <w:rFonts w:hint="eastAsia" w:ascii="宋体" w:hAnsi="宋体" w:eastAsia="宋体" w:cs="宋体"/>
                <w:color w:val="auto"/>
              </w:rPr>
              <w:t>1.焊工持证项目覆盖实际焊接作业，焊工档案、培训考核和施焊标识完整。</w:t>
            </w:r>
          </w:p>
          <w:p w14:paraId="1B91B95C">
            <w:pPr>
              <w:adjustRightInd w:val="0"/>
              <w:snapToGrid w:val="0"/>
              <w:rPr>
                <w:rFonts w:hint="eastAsia" w:ascii="宋体" w:hAnsi="宋体" w:eastAsia="宋体" w:cs="宋体"/>
                <w:color w:val="auto"/>
              </w:rPr>
            </w:pPr>
            <w:r>
              <w:rPr>
                <w:rFonts w:hint="eastAsia" w:ascii="宋体" w:hAnsi="宋体" w:eastAsia="宋体" w:cs="宋体"/>
                <w:color w:val="auto"/>
              </w:rPr>
              <w:t>2.焊接材料采购、验收、储存、烘干、发放和回收受控；焊接工艺评定、焊接工艺规程、施焊记录、返修审批和返修后检验符合要求。</w:t>
            </w:r>
          </w:p>
          <w:p w14:paraId="6BBF9092">
            <w:pPr>
              <w:adjustRightInd w:val="0"/>
              <w:snapToGrid w:val="0"/>
              <w:rPr>
                <w:rFonts w:hint="eastAsia" w:ascii="宋体" w:hAnsi="宋体" w:eastAsia="宋体" w:cs="宋体"/>
                <w:color w:val="auto"/>
              </w:rPr>
            </w:pPr>
            <w:r>
              <w:rPr>
                <w:rFonts w:hint="eastAsia" w:ascii="宋体" w:hAnsi="宋体" w:eastAsia="宋体" w:cs="宋体"/>
                <w:color w:val="auto"/>
              </w:rPr>
              <w:t>3.涉及无损检测等特殊过程或者外委时，人员资格、工艺、设备、记录、报告和受委托单位评价均纳入质量保证体系控制。</w:t>
            </w:r>
          </w:p>
          <w:p w14:paraId="08C6992B">
            <w:pPr>
              <w:adjustRightInd w:val="0"/>
              <w:snapToGrid w:val="0"/>
              <w:rPr>
                <w:rFonts w:hint="eastAsia" w:ascii="宋体" w:hAnsi="宋体" w:eastAsia="宋体" w:cs="宋体"/>
                <w:color w:val="auto"/>
              </w:rPr>
            </w:pPr>
            <w:r>
              <w:rPr>
                <w:rFonts w:hint="eastAsia" w:ascii="宋体" w:hAnsi="宋体" w:eastAsia="宋体" w:cs="宋体"/>
                <w:color w:val="auto"/>
              </w:rPr>
              <w:t>依据：TSG 07—2019附件M M3.6、M3.8。</w:t>
            </w:r>
          </w:p>
        </w:tc>
      </w:tr>
      <w:tr w14:paraId="273BCB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01" w:type="dxa"/>
            <w:vAlign w:val="center"/>
          </w:tcPr>
          <w:p w14:paraId="1399178A">
            <w:pPr>
              <w:pStyle w:val="35"/>
              <w:kinsoku w:val="0"/>
              <w:overflowPunct w:val="0"/>
              <w:adjustRightInd w:val="0"/>
              <w:snapToGrid w:val="0"/>
              <w:ind w:left="102"/>
              <w:jc w:val="center"/>
              <w:rPr>
                <w:rFonts w:hint="eastAsia" w:ascii="宋体" w:hAnsi="宋体" w:eastAsia="宋体" w:cs="宋体"/>
                <w:color w:val="auto"/>
                <w:szCs w:val="21"/>
              </w:rPr>
            </w:pPr>
            <w:r>
              <w:rPr>
                <w:rFonts w:hint="eastAsia" w:ascii="宋体" w:hAnsi="宋体" w:eastAsia="宋体" w:cs="宋体"/>
                <w:color w:val="auto"/>
                <w:szCs w:val="21"/>
              </w:rPr>
              <w:t>12</w:t>
            </w:r>
          </w:p>
        </w:tc>
        <w:tc>
          <w:tcPr>
            <w:tcW w:w="1290" w:type="dxa"/>
            <w:vAlign w:val="center"/>
          </w:tcPr>
          <w:p w14:paraId="755A20BD">
            <w:pPr>
              <w:pStyle w:val="35"/>
              <w:kinsoku w:val="0"/>
              <w:overflowPunct w:val="0"/>
              <w:adjustRightInd w:val="0"/>
              <w:snapToGrid w:val="0"/>
              <w:ind w:left="102"/>
              <w:jc w:val="center"/>
              <w:rPr>
                <w:rFonts w:hint="eastAsia" w:ascii="宋体" w:hAnsi="宋体" w:eastAsia="宋体" w:cs="宋体"/>
                <w:color w:val="auto"/>
                <w:szCs w:val="21"/>
              </w:rPr>
            </w:pPr>
            <w:r>
              <w:rPr>
                <w:rFonts w:hint="eastAsia" w:ascii="宋体" w:hAnsi="宋体" w:eastAsia="宋体" w:cs="宋体"/>
                <w:color w:val="auto"/>
                <w:szCs w:val="21"/>
              </w:rPr>
              <w:t>检验与试验控制</w:t>
            </w:r>
          </w:p>
        </w:tc>
        <w:tc>
          <w:tcPr>
            <w:tcW w:w="7583" w:type="dxa"/>
            <w:vAlign w:val="center"/>
          </w:tcPr>
          <w:p w14:paraId="52379FEC">
            <w:pPr>
              <w:adjustRightInd w:val="0"/>
              <w:snapToGrid w:val="0"/>
              <w:rPr>
                <w:rFonts w:hint="eastAsia" w:ascii="宋体" w:hAnsi="宋体" w:eastAsia="宋体" w:cs="宋体"/>
                <w:color w:val="auto"/>
              </w:rPr>
            </w:pPr>
            <w:r>
              <w:rPr>
                <w:rFonts w:hint="eastAsia" w:ascii="宋体" w:hAnsi="宋体" w:eastAsia="宋体" w:cs="宋体"/>
                <w:color w:val="auto"/>
              </w:rPr>
              <w:t>1.检验与试验工艺明确依据、项目、方法、技术参数、仪器设备和判定规则。</w:t>
            </w:r>
          </w:p>
          <w:p w14:paraId="64C18DC4">
            <w:pPr>
              <w:adjustRightInd w:val="0"/>
              <w:snapToGrid w:val="0"/>
              <w:rPr>
                <w:rFonts w:hint="eastAsia" w:ascii="宋体" w:hAnsi="宋体" w:eastAsia="宋体" w:cs="宋体"/>
                <w:color w:val="auto"/>
              </w:rPr>
            </w:pPr>
            <w:r>
              <w:rPr>
                <w:rFonts w:hint="eastAsia" w:ascii="宋体" w:hAnsi="宋体" w:eastAsia="宋体" w:cs="宋体"/>
                <w:color w:val="auto"/>
              </w:rPr>
              <w:t>2.过程检验、调试、自行检查和最终检验按规定实施；前道工序未经确认不得转序，最终结论不符合要求不得交付。</w:t>
            </w:r>
          </w:p>
          <w:p w14:paraId="0710FFE3">
            <w:pPr>
              <w:adjustRightInd w:val="0"/>
              <w:snapToGrid w:val="0"/>
              <w:rPr>
                <w:rFonts w:hint="eastAsia" w:ascii="宋体" w:hAnsi="宋体" w:eastAsia="宋体" w:cs="宋体"/>
                <w:color w:val="auto"/>
              </w:rPr>
            </w:pPr>
            <w:r>
              <w:rPr>
                <w:rFonts w:hint="eastAsia" w:ascii="宋体" w:hAnsi="宋体" w:eastAsia="宋体" w:cs="宋体"/>
                <w:color w:val="auto"/>
              </w:rPr>
              <w:t>3.检验状态标识清楚，记录和报告填写、审核、确认、归档完整，检验质量控制系统责任人员履行审查确认职责。</w:t>
            </w:r>
          </w:p>
          <w:p w14:paraId="1DA6E8C0">
            <w:pPr>
              <w:adjustRightInd w:val="0"/>
              <w:snapToGrid w:val="0"/>
              <w:rPr>
                <w:rFonts w:hint="eastAsia" w:ascii="宋体" w:hAnsi="宋体" w:eastAsia="宋体" w:cs="宋体"/>
                <w:color w:val="auto"/>
              </w:rPr>
            </w:pPr>
            <w:r>
              <w:rPr>
                <w:rFonts w:hint="eastAsia" w:ascii="宋体" w:hAnsi="宋体" w:eastAsia="宋体" w:cs="宋体"/>
                <w:color w:val="auto"/>
              </w:rPr>
              <w:t>依据：TSG 07—2019附件H H1.7.3、附件M M3.10。</w:t>
            </w:r>
          </w:p>
        </w:tc>
      </w:tr>
      <w:tr w14:paraId="04A5ED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01" w:type="dxa"/>
            <w:vAlign w:val="center"/>
          </w:tcPr>
          <w:p w14:paraId="7DAD4BC6">
            <w:pPr>
              <w:pStyle w:val="35"/>
              <w:kinsoku w:val="0"/>
              <w:overflowPunct w:val="0"/>
              <w:adjustRightInd w:val="0"/>
              <w:snapToGrid w:val="0"/>
              <w:ind w:left="102"/>
              <w:jc w:val="center"/>
              <w:rPr>
                <w:rFonts w:hint="eastAsia" w:ascii="宋体" w:hAnsi="宋体" w:eastAsia="宋体" w:cs="宋体"/>
                <w:color w:val="auto"/>
                <w:szCs w:val="21"/>
              </w:rPr>
            </w:pPr>
            <w:r>
              <w:rPr>
                <w:rFonts w:hint="eastAsia" w:ascii="宋体" w:hAnsi="宋体" w:eastAsia="宋体" w:cs="宋体"/>
                <w:color w:val="auto"/>
                <w:szCs w:val="21"/>
              </w:rPr>
              <w:t>13</w:t>
            </w:r>
          </w:p>
        </w:tc>
        <w:tc>
          <w:tcPr>
            <w:tcW w:w="1290" w:type="dxa"/>
            <w:vAlign w:val="center"/>
          </w:tcPr>
          <w:p w14:paraId="3BF78E28">
            <w:pPr>
              <w:pStyle w:val="35"/>
              <w:kinsoku w:val="0"/>
              <w:overflowPunct w:val="0"/>
              <w:adjustRightInd w:val="0"/>
              <w:snapToGrid w:val="0"/>
              <w:ind w:left="102"/>
              <w:jc w:val="center"/>
              <w:rPr>
                <w:rFonts w:hint="eastAsia" w:ascii="宋体" w:hAnsi="宋体" w:eastAsia="宋体" w:cs="宋体"/>
                <w:color w:val="auto"/>
                <w:szCs w:val="21"/>
              </w:rPr>
            </w:pPr>
            <w:r>
              <w:rPr>
                <w:rFonts w:hint="eastAsia" w:ascii="宋体" w:hAnsi="宋体" w:eastAsia="宋体" w:cs="宋体"/>
                <w:color w:val="auto"/>
                <w:szCs w:val="21"/>
              </w:rPr>
              <w:t>文件记录与技术档案</w:t>
            </w:r>
          </w:p>
        </w:tc>
        <w:tc>
          <w:tcPr>
            <w:tcW w:w="7583" w:type="dxa"/>
            <w:vAlign w:val="center"/>
          </w:tcPr>
          <w:p w14:paraId="0B079443">
            <w:pPr>
              <w:adjustRightInd w:val="0"/>
              <w:snapToGrid w:val="0"/>
              <w:rPr>
                <w:rFonts w:hint="eastAsia" w:ascii="宋体" w:hAnsi="宋体" w:eastAsia="宋体" w:cs="宋体"/>
                <w:color w:val="auto"/>
              </w:rPr>
            </w:pPr>
            <w:r>
              <w:rPr>
                <w:rFonts w:hint="eastAsia" w:ascii="宋体" w:hAnsi="宋体" w:eastAsia="宋体" w:cs="宋体"/>
                <w:color w:val="auto"/>
              </w:rPr>
              <w:t>1.文件和记录的编制、审核、批准、发放、修改、回收、填写、确认、归档、保存期限和销毁均受控。</w:t>
            </w:r>
          </w:p>
          <w:p w14:paraId="15DC61B6">
            <w:pPr>
              <w:adjustRightInd w:val="0"/>
              <w:snapToGrid w:val="0"/>
              <w:rPr>
                <w:rFonts w:hint="eastAsia" w:ascii="宋体" w:hAnsi="宋体" w:eastAsia="宋体" w:cs="宋体"/>
                <w:color w:val="auto"/>
              </w:rPr>
            </w:pPr>
            <w:r>
              <w:rPr>
                <w:rFonts w:hint="eastAsia" w:ascii="宋体" w:hAnsi="宋体" w:eastAsia="宋体" w:cs="宋体"/>
                <w:color w:val="auto"/>
              </w:rPr>
              <w:t>2.逐台建立可追溯的维保、修理技术档案，至少能够反映合同、台账、计划、作业方案、维护保养、故障与修理、材料零部件、检验试验及问题处理过程。</w:t>
            </w:r>
          </w:p>
          <w:p w14:paraId="7CB8C6F7">
            <w:pPr>
              <w:adjustRightInd w:val="0"/>
              <w:snapToGrid w:val="0"/>
              <w:rPr>
                <w:rFonts w:hint="eastAsia" w:ascii="宋体" w:hAnsi="宋体" w:eastAsia="宋体" w:cs="宋体"/>
                <w:color w:val="auto"/>
              </w:rPr>
            </w:pPr>
            <w:r>
              <w:rPr>
                <w:rFonts w:hint="eastAsia" w:ascii="宋体" w:hAnsi="宋体" w:eastAsia="宋体" w:cs="宋体"/>
                <w:color w:val="auto"/>
              </w:rPr>
              <w:t>3.现场抽查记录应真实、准确、完整，签字（含可靠电子签名）和日期齐全，与设备及作业人员对应。</w:t>
            </w:r>
          </w:p>
          <w:p w14:paraId="2315568C">
            <w:pPr>
              <w:adjustRightInd w:val="0"/>
              <w:snapToGrid w:val="0"/>
              <w:rPr>
                <w:rFonts w:hint="eastAsia" w:ascii="宋体" w:hAnsi="宋体" w:eastAsia="宋体" w:cs="宋体"/>
                <w:color w:val="auto"/>
              </w:rPr>
            </w:pPr>
            <w:r>
              <w:rPr>
                <w:rFonts w:hint="eastAsia" w:ascii="宋体" w:hAnsi="宋体" w:eastAsia="宋体" w:cs="宋体"/>
                <w:color w:val="auto"/>
              </w:rPr>
              <w:t>依据：TSG 07—2019附件M M3.1。</w:t>
            </w:r>
          </w:p>
        </w:tc>
      </w:tr>
      <w:tr w14:paraId="0BD01C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01" w:type="dxa"/>
            <w:vAlign w:val="center"/>
          </w:tcPr>
          <w:p w14:paraId="6069D607">
            <w:pPr>
              <w:pStyle w:val="35"/>
              <w:kinsoku w:val="0"/>
              <w:overflowPunct w:val="0"/>
              <w:adjustRightInd w:val="0"/>
              <w:snapToGrid w:val="0"/>
              <w:ind w:left="102"/>
              <w:jc w:val="center"/>
              <w:rPr>
                <w:rFonts w:hint="eastAsia" w:ascii="宋体" w:hAnsi="宋体" w:eastAsia="宋体" w:cs="宋体"/>
                <w:color w:val="auto"/>
                <w:szCs w:val="21"/>
              </w:rPr>
            </w:pPr>
            <w:r>
              <w:rPr>
                <w:rFonts w:hint="eastAsia" w:ascii="宋体" w:hAnsi="宋体" w:eastAsia="宋体" w:cs="宋体"/>
                <w:color w:val="auto"/>
                <w:szCs w:val="21"/>
              </w:rPr>
              <w:t>14</w:t>
            </w:r>
          </w:p>
        </w:tc>
        <w:tc>
          <w:tcPr>
            <w:tcW w:w="1290" w:type="dxa"/>
            <w:vAlign w:val="center"/>
          </w:tcPr>
          <w:p w14:paraId="6C8DCF3B">
            <w:pPr>
              <w:pStyle w:val="35"/>
              <w:kinsoku w:val="0"/>
              <w:overflowPunct w:val="0"/>
              <w:adjustRightInd w:val="0"/>
              <w:snapToGrid w:val="0"/>
              <w:ind w:left="102"/>
              <w:jc w:val="center"/>
              <w:rPr>
                <w:rFonts w:hint="eastAsia" w:ascii="宋体" w:hAnsi="宋体" w:eastAsia="宋体" w:cs="宋体"/>
                <w:color w:val="auto"/>
                <w:szCs w:val="21"/>
              </w:rPr>
            </w:pPr>
            <w:r>
              <w:rPr>
                <w:rFonts w:hint="eastAsia" w:ascii="宋体" w:hAnsi="宋体" w:eastAsia="宋体" w:cs="宋体"/>
                <w:color w:val="auto"/>
                <w:szCs w:val="21"/>
              </w:rPr>
              <w:t>不合格项与质量改进</w:t>
            </w:r>
          </w:p>
        </w:tc>
        <w:tc>
          <w:tcPr>
            <w:tcW w:w="7583" w:type="dxa"/>
            <w:vAlign w:val="center"/>
          </w:tcPr>
          <w:p w14:paraId="37EB10F4">
            <w:pPr>
              <w:adjustRightInd w:val="0"/>
              <w:snapToGrid w:val="0"/>
              <w:rPr>
                <w:rFonts w:hint="eastAsia" w:ascii="宋体" w:hAnsi="宋体" w:eastAsia="宋体" w:cs="宋体"/>
                <w:color w:val="auto"/>
              </w:rPr>
            </w:pPr>
            <w:r>
              <w:rPr>
                <w:rFonts w:hint="eastAsia" w:ascii="宋体" w:hAnsi="宋体" w:eastAsia="宋体" w:cs="宋体"/>
                <w:color w:val="auto"/>
              </w:rPr>
              <w:t>1.对不合格品（项）进行记录、标识、原因分析、处置、处置后检验，并对纠正、预防措施进行跟踪验证。</w:t>
            </w:r>
          </w:p>
          <w:p w14:paraId="05FEFC02">
            <w:pPr>
              <w:adjustRightInd w:val="0"/>
              <w:snapToGrid w:val="0"/>
              <w:rPr>
                <w:rFonts w:hint="eastAsia" w:ascii="宋体" w:hAnsi="宋体" w:eastAsia="宋体" w:cs="宋体"/>
                <w:color w:val="auto"/>
              </w:rPr>
            </w:pPr>
            <w:r>
              <w:rPr>
                <w:rFonts w:hint="eastAsia" w:ascii="宋体" w:hAnsi="宋体" w:eastAsia="宋体" w:cs="宋体"/>
                <w:color w:val="auto"/>
              </w:rPr>
              <w:t>2.收集、分析和处理内外部质量信息、监管和检验机构提出的问题、故障及投诉，形成闭环。</w:t>
            </w:r>
          </w:p>
          <w:p w14:paraId="2054047B">
            <w:pPr>
              <w:adjustRightInd w:val="0"/>
              <w:snapToGrid w:val="0"/>
              <w:rPr>
                <w:rFonts w:hint="eastAsia" w:ascii="宋体" w:hAnsi="宋体" w:eastAsia="宋体" w:cs="宋体"/>
                <w:color w:val="auto"/>
              </w:rPr>
            </w:pPr>
            <w:r>
              <w:rPr>
                <w:rFonts w:hint="eastAsia" w:ascii="宋体" w:hAnsi="宋体" w:eastAsia="宋体" w:cs="宋体"/>
                <w:color w:val="auto"/>
              </w:rPr>
              <w:t>3.每年至少开展1次完整内部审核，对发现问题实施纠正并验证有效性；定期开展质量统计分析和客户服务评价。</w:t>
            </w:r>
          </w:p>
          <w:p w14:paraId="1753FAFB">
            <w:pPr>
              <w:adjustRightInd w:val="0"/>
              <w:snapToGrid w:val="0"/>
              <w:rPr>
                <w:rFonts w:hint="eastAsia" w:ascii="宋体" w:hAnsi="宋体" w:eastAsia="宋体" w:cs="宋体"/>
                <w:color w:val="auto"/>
              </w:rPr>
            </w:pPr>
            <w:r>
              <w:rPr>
                <w:rFonts w:hint="eastAsia" w:ascii="宋体" w:hAnsi="宋体" w:eastAsia="宋体" w:cs="宋体"/>
                <w:color w:val="auto"/>
              </w:rPr>
              <w:t>依据：TSG 07—2019附件M M3.12、M3.13。</w:t>
            </w:r>
          </w:p>
        </w:tc>
      </w:tr>
      <w:tr w14:paraId="07615F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01" w:type="dxa"/>
            <w:vAlign w:val="center"/>
          </w:tcPr>
          <w:p w14:paraId="04A458C1">
            <w:pPr>
              <w:pStyle w:val="35"/>
              <w:kinsoku w:val="0"/>
              <w:overflowPunct w:val="0"/>
              <w:adjustRightInd w:val="0"/>
              <w:snapToGrid w:val="0"/>
              <w:ind w:left="102"/>
              <w:jc w:val="center"/>
              <w:rPr>
                <w:rFonts w:hint="eastAsia" w:ascii="宋体" w:hAnsi="宋体" w:eastAsia="宋体" w:cs="宋体"/>
                <w:color w:val="auto"/>
                <w:szCs w:val="21"/>
              </w:rPr>
            </w:pPr>
            <w:r>
              <w:rPr>
                <w:rFonts w:hint="eastAsia" w:ascii="宋体" w:hAnsi="宋体" w:eastAsia="宋体" w:cs="宋体"/>
                <w:color w:val="auto"/>
                <w:szCs w:val="21"/>
              </w:rPr>
              <w:t>15</w:t>
            </w:r>
          </w:p>
        </w:tc>
        <w:tc>
          <w:tcPr>
            <w:tcW w:w="1290" w:type="dxa"/>
            <w:vAlign w:val="center"/>
          </w:tcPr>
          <w:p w14:paraId="49D18A72">
            <w:pPr>
              <w:pStyle w:val="35"/>
              <w:kinsoku w:val="0"/>
              <w:overflowPunct w:val="0"/>
              <w:adjustRightInd w:val="0"/>
              <w:snapToGrid w:val="0"/>
              <w:ind w:left="102"/>
              <w:jc w:val="center"/>
              <w:rPr>
                <w:rFonts w:hint="eastAsia" w:ascii="宋体" w:hAnsi="宋体" w:eastAsia="宋体" w:cs="宋体"/>
                <w:color w:val="auto"/>
                <w:szCs w:val="21"/>
              </w:rPr>
            </w:pPr>
            <w:r>
              <w:rPr>
                <w:rFonts w:hint="eastAsia" w:ascii="宋体" w:hAnsi="宋体" w:eastAsia="宋体" w:cs="宋体"/>
                <w:color w:val="auto"/>
                <w:szCs w:val="21"/>
              </w:rPr>
              <w:t>人员培训与管理</w:t>
            </w:r>
          </w:p>
        </w:tc>
        <w:tc>
          <w:tcPr>
            <w:tcW w:w="7583" w:type="dxa"/>
            <w:vAlign w:val="center"/>
          </w:tcPr>
          <w:p w14:paraId="660104D9">
            <w:pPr>
              <w:adjustRightInd w:val="0"/>
              <w:snapToGrid w:val="0"/>
              <w:rPr>
                <w:rFonts w:hint="eastAsia" w:ascii="宋体" w:hAnsi="宋体" w:eastAsia="宋体" w:cs="宋体"/>
                <w:color w:val="auto"/>
              </w:rPr>
            </w:pPr>
            <w:r>
              <w:rPr>
                <w:rFonts w:hint="eastAsia" w:ascii="宋体" w:hAnsi="宋体" w:eastAsia="宋体" w:cs="宋体"/>
                <w:color w:val="auto"/>
              </w:rPr>
              <w:t>1.建立人员聘用、岗位、培训和考核管理制度。</w:t>
            </w:r>
          </w:p>
          <w:p w14:paraId="0F3ABEAE">
            <w:pPr>
              <w:adjustRightInd w:val="0"/>
              <w:snapToGrid w:val="0"/>
              <w:rPr>
                <w:rFonts w:hint="eastAsia" w:ascii="宋体" w:hAnsi="宋体" w:eastAsia="宋体" w:cs="宋体"/>
                <w:color w:val="auto"/>
              </w:rPr>
            </w:pPr>
            <w:r>
              <w:rPr>
                <w:rFonts w:hint="eastAsia" w:ascii="宋体" w:hAnsi="宋体" w:eastAsia="宋体" w:cs="宋体"/>
                <w:color w:val="auto"/>
              </w:rPr>
              <w:t>2.制定并实施年度培训计划，培训内容覆盖法规标准、质量保证体系、岗位技能、施工安全、吊装和风险防控。</w:t>
            </w:r>
          </w:p>
          <w:p w14:paraId="00724DC7">
            <w:pPr>
              <w:adjustRightInd w:val="0"/>
              <w:snapToGrid w:val="0"/>
              <w:rPr>
                <w:rFonts w:hint="eastAsia" w:ascii="宋体" w:hAnsi="宋体" w:eastAsia="宋体" w:cs="宋体"/>
                <w:color w:val="auto"/>
              </w:rPr>
            </w:pPr>
            <w:r>
              <w:rPr>
                <w:rFonts w:hint="eastAsia" w:ascii="宋体" w:hAnsi="宋体" w:eastAsia="宋体" w:cs="宋体"/>
                <w:color w:val="auto"/>
              </w:rPr>
              <w:t>3.建立许可所要求人员的培训、考核、资格证书和继续教育档案，确保持证项目和实际工作相适应。</w:t>
            </w:r>
          </w:p>
          <w:p w14:paraId="06B92231">
            <w:pPr>
              <w:adjustRightInd w:val="0"/>
              <w:snapToGrid w:val="0"/>
              <w:rPr>
                <w:rFonts w:hint="eastAsia" w:ascii="宋体" w:hAnsi="宋体" w:eastAsia="宋体" w:cs="宋体"/>
                <w:color w:val="auto"/>
              </w:rPr>
            </w:pPr>
            <w:r>
              <w:rPr>
                <w:rFonts w:hint="eastAsia" w:ascii="宋体" w:hAnsi="宋体" w:eastAsia="宋体" w:cs="宋体"/>
                <w:color w:val="auto"/>
              </w:rPr>
              <w:t>依据：TSG 07—2019附件M M3.14。</w:t>
            </w:r>
          </w:p>
        </w:tc>
      </w:tr>
      <w:tr w14:paraId="4DFAAD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01" w:type="dxa"/>
            <w:vAlign w:val="center"/>
          </w:tcPr>
          <w:p w14:paraId="4739A069">
            <w:pPr>
              <w:pStyle w:val="35"/>
              <w:kinsoku w:val="0"/>
              <w:overflowPunct w:val="0"/>
              <w:adjustRightInd w:val="0"/>
              <w:snapToGrid w:val="0"/>
              <w:ind w:left="102"/>
              <w:jc w:val="center"/>
              <w:rPr>
                <w:rFonts w:hint="eastAsia" w:ascii="宋体" w:hAnsi="宋体" w:eastAsia="宋体" w:cs="宋体"/>
                <w:color w:val="auto"/>
                <w:szCs w:val="21"/>
              </w:rPr>
            </w:pPr>
            <w:r>
              <w:rPr>
                <w:rFonts w:hint="eastAsia" w:ascii="宋体" w:hAnsi="宋体" w:eastAsia="宋体" w:cs="宋体"/>
                <w:color w:val="auto"/>
                <w:szCs w:val="21"/>
              </w:rPr>
              <w:t>16</w:t>
            </w:r>
          </w:p>
        </w:tc>
        <w:tc>
          <w:tcPr>
            <w:tcW w:w="1290" w:type="dxa"/>
            <w:vAlign w:val="center"/>
          </w:tcPr>
          <w:p w14:paraId="3D889133">
            <w:pPr>
              <w:pStyle w:val="35"/>
              <w:kinsoku w:val="0"/>
              <w:overflowPunct w:val="0"/>
              <w:adjustRightInd w:val="0"/>
              <w:snapToGrid w:val="0"/>
              <w:ind w:left="102"/>
              <w:jc w:val="center"/>
              <w:rPr>
                <w:rFonts w:hint="eastAsia" w:ascii="宋体" w:hAnsi="宋体" w:eastAsia="宋体" w:cs="宋体"/>
                <w:color w:val="auto"/>
                <w:szCs w:val="21"/>
              </w:rPr>
            </w:pPr>
            <w:r>
              <w:rPr>
                <w:rFonts w:hint="eastAsia" w:ascii="宋体" w:hAnsi="宋体" w:eastAsia="宋体" w:cs="宋体"/>
                <w:color w:val="auto"/>
                <w:szCs w:val="21"/>
              </w:rPr>
              <w:t>许可制度执行与信息变更</w:t>
            </w:r>
          </w:p>
        </w:tc>
        <w:tc>
          <w:tcPr>
            <w:tcW w:w="7583" w:type="dxa"/>
            <w:vAlign w:val="center"/>
          </w:tcPr>
          <w:p w14:paraId="5FFD6A7A">
            <w:pPr>
              <w:adjustRightInd w:val="0"/>
              <w:snapToGrid w:val="0"/>
              <w:rPr>
                <w:rFonts w:hint="eastAsia" w:ascii="宋体" w:hAnsi="宋体" w:eastAsia="宋体" w:cs="宋体"/>
                <w:color w:val="auto"/>
              </w:rPr>
            </w:pPr>
            <w:r>
              <w:rPr>
                <w:rFonts w:hint="eastAsia" w:ascii="宋体" w:hAnsi="宋体" w:eastAsia="宋体" w:cs="宋体"/>
                <w:color w:val="auto"/>
              </w:rPr>
              <w:t>1.接受监管部门监督检查，按规定配合监督检验，及时处理监管、检验机构提出的问题并验证整改结果。</w:t>
            </w:r>
          </w:p>
          <w:p w14:paraId="54A82112">
            <w:pPr>
              <w:adjustRightInd w:val="0"/>
              <w:snapToGrid w:val="0"/>
              <w:rPr>
                <w:rFonts w:hint="eastAsia" w:ascii="宋体" w:hAnsi="宋体" w:eastAsia="宋体" w:cs="宋体"/>
                <w:color w:val="auto"/>
              </w:rPr>
            </w:pPr>
            <w:r>
              <w:rPr>
                <w:rFonts w:hint="eastAsia" w:ascii="宋体" w:hAnsi="宋体" w:eastAsia="宋体" w:cs="宋体"/>
                <w:color w:val="auto"/>
              </w:rPr>
              <w:t>2.单位名称、住所、办公地址、许可范围、质量保证体系等发生变更、变化时，按规定办理许可变更、备案或者增项；按期申请换证。</w:t>
            </w:r>
          </w:p>
          <w:p w14:paraId="1BB43900">
            <w:pPr>
              <w:adjustRightInd w:val="0"/>
              <w:snapToGrid w:val="0"/>
              <w:rPr>
                <w:rFonts w:hint="eastAsia" w:ascii="宋体" w:hAnsi="宋体" w:eastAsia="宋体" w:cs="宋体"/>
                <w:color w:val="auto"/>
              </w:rPr>
            </w:pPr>
            <w:r>
              <w:rPr>
                <w:rFonts w:hint="eastAsia" w:ascii="宋体" w:hAnsi="宋体" w:eastAsia="宋体" w:cs="宋体"/>
                <w:color w:val="auto"/>
              </w:rPr>
              <w:t>3.按规定向监管部门、检验机构和社会提供机构、人员、设备设施及生产过程相关信息；由质量保证工程师监督检查许可制度执行情况并形成记录。</w:t>
            </w:r>
          </w:p>
          <w:p w14:paraId="3B3727B2">
            <w:pPr>
              <w:adjustRightInd w:val="0"/>
              <w:snapToGrid w:val="0"/>
              <w:rPr>
                <w:rFonts w:hint="eastAsia" w:ascii="宋体" w:hAnsi="宋体" w:eastAsia="宋体" w:cs="宋体"/>
                <w:color w:val="auto"/>
              </w:rPr>
            </w:pPr>
            <w:r>
              <w:rPr>
                <w:rFonts w:hint="eastAsia" w:ascii="宋体" w:hAnsi="宋体" w:eastAsia="宋体" w:cs="宋体"/>
                <w:color w:val="auto"/>
              </w:rPr>
              <w:t>依据：TSG 07—2019第3.6条、附件M M3.15。</w:t>
            </w:r>
          </w:p>
        </w:tc>
      </w:tr>
    </w:tbl>
    <w:p w14:paraId="24D1BB0A">
      <w:pPr>
        <w:adjustRightInd w:val="0"/>
        <w:snapToGrid w:val="0"/>
        <w:rPr>
          <w:rFonts w:hint="eastAsia" w:ascii="宋体" w:hAnsi="宋体" w:eastAsia="宋体" w:cs="仿宋"/>
          <w:bCs/>
          <w:szCs w:val="21"/>
        </w:rPr>
      </w:pPr>
    </w:p>
    <w:p w14:paraId="1D012A81">
      <w:pPr>
        <w:adjustRightInd w:val="0"/>
        <w:snapToGrid w:val="0"/>
        <w:rPr>
          <w:rFonts w:hint="eastAsia" w:ascii="宋体" w:hAnsi="宋体" w:eastAsia="宋体" w:cs="仿宋"/>
          <w:bCs/>
          <w:szCs w:val="21"/>
        </w:rPr>
        <w:sectPr>
          <w:pgSz w:w="11906" w:h="16838"/>
          <w:pgMar w:top="1928" w:right="1474" w:bottom="1814" w:left="1587" w:header="851" w:footer="992" w:gutter="0"/>
          <w:pgNumType w:fmt="numberInDash"/>
          <w:cols w:space="0" w:num="1"/>
          <w:docGrid w:type="lines" w:linePitch="312" w:charSpace="0"/>
        </w:sectPr>
      </w:pPr>
    </w:p>
    <w:p w14:paraId="50C84F5C">
      <w:pPr>
        <w:adjustRightInd w:val="0"/>
        <w:snapToGrid w:val="0"/>
        <w:rPr>
          <w:rFonts w:hint="eastAsia" w:ascii="宋体" w:hAnsi="宋体" w:eastAsia="宋体" w:cs="仿宋"/>
          <w:bCs/>
          <w:szCs w:val="21"/>
        </w:rPr>
      </w:pPr>
      <w:r>
        <w:rPr>
          <w:rFonts w:hint="eastAsia" w:ascii="宋体" w:hAnsi="宋体" w:eastAsia="宋体" w:cs="仿宋"/>
          <w:bCs/>
          <w:szCs w:val="21"/>
        </w:rPr>
        <w:t>附表2</w:t>
      </w:r>
    </w:p>
    <w:p w14:paraId="2F99549D">
      <w:pPr>
        <w:adjustRightInd w:val="0"/>
        <w:snapToGrid w:val="0"/>
        <w:jc w:val="center"/>
        <w:rPr>
          <w:rFonts w:hint="eastAsia" w:ascii="宋体" w:hAnsi="宋体" w:eastAsia="宋体" w:cs="仿宋"/>
          <w:bCs/>
          <w:szCs w:val="21"/>
        </w:rPr>
      </w:pPr>
      <w:r>
        <w:rPr>
          <w:rFonts w:hint="eastAsia"/>
          <w:sz w:val="30"/>
          <w:szCs w:val="30"/>
        </w:rPr>
        <w:t>许可规则中对人员的要求（起重机械）</w:t>
      </w:r>
    </w:p>
    <w:tbl>
      <w:tblPr>
        <w:tblStyle w:val="16"/>
        <w:tblW w:w="151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
        <w:gridCol w:w="830"/>
        <w:gridCol w:w="2847"/>
        <w:gridCol w:w="9"/>
        <w:gridCol w:w="3497"/>
        <w:gridCol w:w="3497"/>
        <w:gridCol w:w="3499"/>
      </w:tblGrid>
      <w:tr w14:paraId="08E96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985" w:type="dxa"/>
            <w:vAlign w:val="center"/>
          </w:tcPr>
          <w:p w14:paraId="284FDCDC">
            <w:pPr>
              <w:adjustRightInd w:val="0"/>
              <w:snapToGrid w:val="0"/>
              <w:rPr>
                <w:rFonts w:hint="eastAsia" w:ascii="宋体" w:hAnsi="宋体" w:eastAsia="宋体"/>
                <w:b/>
                <w:bCs/>
                <w:sz w:val="18"/>
                <w:szCs w:val="18"/>
              </w:rPr>
            </w:pPr>
            <w:r>
              <w:rPr>
                <w:rFonts w:hint="eastAsia" w:ascii="宋体" w:hAnsi="宋体" w:eastAsia="宋体"/>
                <w:b/>
                <w:bCs/>
                <w:sz w:val="18"/>
                <w:szCs w:val="18"/>
              </w:rPr>
              <w:t>许可项目</w:t>
            </w:r>
          </w:p>
        </w:tc>
        <w:tc>
          <w:tcPr>
            <w:tcW w:w="3686" w:type="dxa"/>
            <w:gridSpan w:val="3"/>
            <w:vAlign w:val="center"/>
          </w:tcPr>
          <w:p w14:paraId="1AD8A4E3">
            <w:pPr>
              <w:adjustRightInd w:val="0"/>
              <w:snapToGrid w:val="0"/>
              <w:jc w:val="center"/>
              <w:rPr>
                <w:rFonts w:hint="eastAsia" w:ascii="宋体" w:hAnsi="宋体" w:eastAsia="宋体"/>
                <w:b/>
                <w:bCs/>
                <w:sz w:val="18"/>
                <w:szCs w:val="18"/>
              </w:rPr>
            </w:pPr>
            <w:r>
              <w:rPr>
                <w:rFonts w:ascii="宋体" w:hAnsi="宋体" w:eastAsia="宋体"/>
                <w:b/>
                <w:bCs/>
                <w:sz w:val="18"/>
                <w:szCs w:val="18"/>
              </w:rPr>
              <w:t>关键</w:t>
            </w:r>
            <w:bookmarkStart w:id="8" w:name="_GoBack"/>
            <w:bookmarkEnd w:id="8"/>
            <w:r>
              <w:rPr>
                <w:rFonts w:ascii="宋体" w:hAnsi="宋体" w:eastAsia="宋体"/>
                <w:b/>
                <w:bCs/>
                <w:sz w:val="18"/>
                <w:szCs w:val="18"/>
              </w:rPr>
              <w:t>项目</w:t>
            </w:r>
          </w:p>
        </w:tc>
        <w:tc>
          <w:tcPr>
            <w:tcW w:w="3497" w:type="dxa"/>
            <w:vAlign w:val="center"/>
          </w:tcPr>
          <w:p w14:paraId="043A5E74">
            <w:pPr>
              <w:adjustRightInd w:val="0"/>
              <w:snapToGrid w:val="0"/>
              <w:rPr>
                <w:rFonts w:hint="eastAsia" w:ascii="宋体" w:hAnsi="宋体" w:eastAsia="宋体"/>
                <w:b/>
                <w:bCs/>
                <w:sz w:val="18"/>
                <w:szCs w:val="18"/>
              </w:rPr>
            </w:pPr>
            <w:r>
              <w:rPr>
                <w:rFonts w:hint="eastAsia" w:ascii="宋体" w:hAnsi="宋体" w:eastAsia="宋体"/>
                <w:b/>
                <w:bCs/>
                <w:sz w:val="18"/>
                <w:szCs w:val="18"/>
              </w:rPr>
              <w:t>桥门式起重机（A）、流动式起重机（A）、门座式起重机（A）</w:t>
            </w:r>
          </w:p>
        </w:tc>
        <w:tc>
          <w:tcPr>
            <w:tcW w:w="3497" w:type="dxa"/>
            <w:vAlign w:val="center"/>
          </w:tcPr>
          <w:p w14:paraId="4E462E47">
            <w:pPr>
              <w:adjustRightInd w:val="0"/>
              <w:snapToGrid w:val="0"/>
              <w:rPr>
                <w:rFonts w:hint="eastAsia" w:ascii="宋体" w:hAnsi="宋体" w:eastAsia="宋体"/>
                <w:b/>
                <w:bCs/>
                <w:sz w:val="18"/>
                <w:szCs w:val="18"/>
              </w:rPr>
            </w:pPr>
            <w:r>
              <w:rPr>
                <w:rFonts w:hint="eastAsia" w:ascii="宋体" w:hAnsi="宋体" w:eastAsia="宋体"/>
                <w:b/>
                <w:bCs/>
                <w:sz w:val="18"/>
                <w:szCs w:val="18"/>
              </w:rPr>
              <w:t>桥门式起重机（B）、流动式起重机（B）、门座式起重机（B）</w:t>
            </w:r>
          </w:p>
        </w:tc>
        <w:tc>
          <w:tcPr>
            <w:tcW w:w="3499" w:type="dxa"/>
            <w:vAlign w:val="center"/>
          </w:tcPr>
          <w:p w14:paraId="756A4516">
            <w:pPr>
              <w:adjustRightInd w:val="0"/>
              <w:snapToGrid w:val="0"/>
              <w:rPr>
                <w:b/>
                <w:bCs/>
                <w:sz w:val="18"/>
                <w:szCs w:val="18"/>
              </w:rPr>
            </w:pPr>
            <w:r>
              <w:rPr>
                <w:rFonts w:hint="eastAsia" w:ascii="宋体" w:hAnsi="宋体" w:eastAsia="宋体"/>
                <w:b/>
                <w:bCs/>
                <w:sz w:val="18"/>
                <w:szCs w:val="18"/>
              </w:rPr>
              <w:t>机械式停车设备、塔式起重机、升降机、缆索式起重机、桅杆式起重机</w:t>
            </w:r>
          </w:p>
        </w:tc>
      </w:tr>
      <w:tr w14:paraId="3119A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vMerge w:val="restart"/>
            <w:vAlign w:val="center"/>
          </w:tcPr>
          <w:p w14:paraId="7C4A11AA">
            <w:pPr>
              <w:adjustRightInd w:val="0"/>
              <w:snapToGrid w:val="0"/>
              <w:rPr>
                <w:rFonts w:hint="eastAsia" w:ascii="宋体" w:hAnsi="宋体" w:eastAsia="宋体"/>
                <w:sz w:val="18"/>
                <w:szCs w:val="18"/>
              </w:rPr>
            </w:pPr>
            <w:r>
              <w:rPr>
                <w:rFonts w:hint="eastAsia"/>
              </w:rPr>
              <w:t>起重机械安装（含修理）</w:t>
            </w:r>
          </w:p>
        </w:tc>
        <w:tc>
          <w:tcPr>
            <w:tcW w:w="3686" w:type="dxa"/>
            <w:gridSpan w:val="3"/>
            <w:vAlign w:val="center"/>
          </w:tcPr>
          <w:p w14:paraId="4094ACE1">
            <w:pPr>
              <w:adjustRightInd w:val="0"/>
              <w:snapToGrid w:val="0"/>
              <w:rPr>
                <w:rFonts w:hint="eastAsia" w:ascii="宋体" w:hAnsi="宋体" w:eastAsia="宋体"/>
                <w:sz w:val="18"/>
                <w:szCs w:val="18"/>
              </w:rPr>
            </w:pPr>
            <w:r>
              <w:rPr>
                <w:rFonts w:hint="eastAsia" w:ascii="宋体" w:hAnsi="宋体" w:eastAsia="宋体"/>
                <w:sz w:val="18"/>
                <w:szCs w:val="18"/>
              </w:rPr>
              <w:t>1.技术负责人</w:t>
            </w:r>
          </w:p>
        </w:tc>
        <w:tc>
          <w:tcPr>
            <w:tcW w:w="10493" w:type="dxa"/>
            <w:gridSpan w:val="3"/>
            <w:vAlign w:val="center"/>
          </w:tcPr>
          <w:p w14:paraId="22B912F9">
            <w:pPr>
              <w:adjustRightInd w:val="0"/>
              <w:snapToGrid w:val="0"/>
              <w:jc w:val="center"/>
              <w:rPr>
                <w:rFonts w:hint="eastAsia" w:ascii="宋体" w:hAnsi="宋体" w:eastAsia="宋体"/>
                <w:sz w:val="18"/>
                <w:szCs w:val="18"/>
              </w:rPr>
            </w:pPr>
            <w:r>
              <w:rPr>
                <w:rFonts w:hint="eastAsia" w:ascii="宋体" w:hAnsi="宋体" w:eastAsia="宋体"/>
                <w:sz w:val="18"/>
                <w:szCs w:val="18"/>
              </w:rPr>
              <w:t>具有工程师职称，机械或电气类相关专业。</w:t>
            </w:r>
          </w:p>
        </w:tc>
      </w:tr>
      <w:tr w14:paraId="06A7A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vMerge w:val="continue"/>
          </w:tcPr>
          <w:p w14:paraId="41604234">
            <w:pPr>
              <w:adjustRightInd w:val="0"/>
              <w:snapToGrid w:val="0"/>
              <w:rPr>
                <w:rFonts w:hint="eastAsia" w:ascii="宋体" w:hAnsi="宋体" w:eastAsia="宋体"/>
                <w:sz w:val="18"/>
                <w:szCs w:val="18"/>
              </w:rPr>
            </w:pPr>
          </w:p>
        </w:tc>
        <w:tc>
          <w:tcPr>
            <w:tcW w:w="830" w:type="dxa"/>
            <w:vMerge w:val="restart"/>
            <w:vAlign w:val="center"/>
          </w:tcPr>
          <w:p w14:paraId="24D8AE18">
            <w:pPr>
              <w:adjustRightInd w:val="0"/>
              <w:snapToGrid w:val="0"/>
              <w:rPr>
                <w:rFonts w:hint="eastAsia" w:ascii="宋体" w:hAnsi="宋体" w:eastAsia="宋体"/>
                <w:sz w:val="18"/>
                <w:szCs w:val="18"/>
              </w:rPr>
            </w:pPr>
            <w:r>
              <w:rPr>
                <w:rFonts w:hint="eastAsia" w:ascii="宋体" w:hAnsi="宋体" w:eastAsia="宋体"/>
                <w:sz w:val="18"/>
                <w:szCs w:val="18"/>
              </w:rPr>
              <w:t>2.质量保证体系人员</w:t>
            </w:r>
          </w:p>
        </w:tc>
        <w:tc>
          <w:tcPr>
            <w:tcW w:w="2856" w:type="dxa"/>
            <w:gridSpan w:val="2"/>
          </w:tcPr>
          <w:p w14:paraId="279B8318">
            <w:pPr>
              <w:adjustRightInd w:val="0"/>
              <w:snapToGrid w:val="0"/>
              <w:rPr>
                <w:rFonts w:hint="eastAsia" w:ascii="宋体" w:hAnsi="宋体" w:eastAsia="宋体"/>
                <w:sz w:val="18"/>
                <w:szCs w:val="18"/>
              </w:rPr>
            </w:pPr>
            <w:r>
              <w:rPr>
                <w:rFonts w:hint="eastAsia" w:ascii="宋体" w:hAnsi="宋体" w:eastAsia="宋体"/>
                <w:sz w:val="18"/>
                <w:szCs w:val="18"/>
              </w:rPr>
              <w:t>1）质量保证工程师</w:t>
            </w:r>
          </w:p>
        </w:tc>
        <w:tc>
          <w:tcPr>
            <w:tcW w:w="10493" w:type="dxa"/>
            <w:gridSpan w:val="3"/>
            <w:vAlign w:val="center"/>
          </w:tcPr>
          <w:p w14:paraId="14010849">
            <w:pPr>
              <w:adjustRightInd w:val="0"/>
              <w:snapToGrid w:val="0"/>
              <w:jc w:val="center"/>
              <w:rPr>
                <w:rFonts w:hint="eastAsia" w:ascii="宋体" w:hAnsi="宋体" w:eastAsia="宋体"/>
                <w:sz w:val="18"/>
                <w:szCs w:val="18"/>
              </w:rPr>
            </w:pPr>
            <w:r>
              <w:rPr>
                <w:rFonts w:hint="eastAsia" w:ascii="宋体" w:hAnsi="宋体" w:eastAsia="宋体"/>
                <w:sz w:val="18"/>
                <w:szCs w:val="18"/>
              </w:rPr>
              <w:t>具有工程师职称</w:t>
            </w:r>
          </w:p>
        </w:tc>
      </w:tr>
      <w:tr w14:paraId="684E2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85" w:type="dxa"/>
            <w:vMerge w:val="continue"/>
            <w:vAlign w:val="center"/>
          </w:tcPr>
          <w:p w14:paraId="68B79902">
            <w:pPr>
              <w:adjustRightInd w:val="0"/>
              <w:snapToGrid w:val="0"/>
              <w:rPr>
                <w:rFonts w:hint="eastAsia" w:ascii="宋体" w:hAnsi="宋体" w:eastAsia="宋体"/>
                <w:sz w:val="18"/>
                <w:szCs w:val="18"/>
              </w:rPr>
            </w:pPr>
          </w:p>
        </w:tc>
        <w:tc>
          <w:tcPr>
            <w:tcW w:w="830" w:type="dxa"/>
            <w:vMerge w:val="continue"/>
          </w:tcPr>
          <w:p w14:paraId="6675CFF2">
            <w:pPr>
              <w:adjustRightInd w:val="0"/>
              <w:snapToGrid w:val="0"/>
              <w:rPr>
                <w:rFonts w:hint="eastAsia" w:ascii="宋体" w:hAnsi="宋体" w:eastAsia="宋体"/>
                <w:sz w:val="18"/>
                <w:szCs w:val="18"/>
              </w:rPr>
            </w:pPr>
          </w:p>
        </w:tc>
        <w:tc>
          <w:tcPr>
            <w:tcW w:w="2856" w:type="dxa"/>
            <w:gridSpan w:val="2"/>
            <w:vMerge w:val="restart"/>
            <w:vAlign w:val="center"/>
          </w:tcPr>
          <w:p w14:paraId="50B7582C">
            <w:pPr>
              <w:adjustRightInd w:val="0"/>
              <w:snapToGrid w:val="0"/>
              <w:rPr>
                <w:rFonts w:hint="eastAsia" w:ascii="宋体" w:hAnsi="宋体" w:eastAsia="宋体"/>
                <w:sz w:val="18"/>
                <w:szCs w:val="18"/>
              </w:rPr>
            </w:pPr>
            <w:r>
              <w:rPr>
                <w:rFonts w:hint="eastAsia" w:ascii="宋体" w:hAnsi="宋体" w:eastAsia="宋体"/>
                <w:sz w:val="18"/>
                <w:szCs w:val="18"/>
              </w:rPr>
              <w:t>2）各质量控制系统责任人员</w:t>
            </w:r>
          </w:p>
          <w:p w14:paraId="24BE60FC">
            <w:pPr>
              <w:adjustRightInd w:val="0"/>
              <w:snapToGrid w:val="0"/>
              <w:rPr>
                <w:rFonts w:hint="eastAsia" w:ascii="宋体" w:hAnsi="宋体" w:eastAsia="宋体"/>
                <w:spacing w:val="-4"/>
                <w:sz w:val="18"/>
                <w:szCs w:val="18"/>
              </w:rPr>
            </w:pPr>
            <w:r>
              <w:rPr>
                <w:rFonts w:hint="eastAsia" w:ascii="宋体" w:hAnsi="宋体" w:eastAsia="宋体"/>
                <w:spacing w:val="-4"/>
                <w:sz w:val="18"/>
                <w:szCs w:val="18"/>
              </w:rPr>
              <w:t>①安装方案设计、②吊装、③焊接、④调试、⑤检验质量控制系统责任人员，机械或电气类相关专业毕业。</w:t>
            </w:r>
          </w:p>
        </w:tc>
        <w:tc>
          <w:tcPr>
            <w:tcW w:w="3497" w:type="dxa"/>
            <w:vMerge w:val="restart"/>
            <w:vAlign w:val="center"/>
          </w:tcPr>
          <w:p w14:paraId="369B6496">
            <w:pPr>
              <w:adjustRightInd w:val="0"/>
              <w:snapToGrid w:val="0"/>
              <w:rPr>
                <w:rFonts w:hint="eastAsia" w:ascii="宋体" w:hAnsi="宋体" w:eastAsia="宋体"/>
                <w:sz w:val="18"/>
                <w:szCs w:val="18"/>
              </w:rPr>
            </w:pPr>
            <w:r>
              <w:rPr>
                <w:rFonts w:hint="eastAsia" w:ascii="宋体" w:hAnsi="宋体" w:eastAsia="宋体"/>
                <w:sz w:val="18"/>
                <w:szCs w:val="18"/>
              </w:rPr>
              <w:t xml:space="preserve">安装方案设计、吊装、焊接、调试、检验质量控制系统责任人员，具有工程师职称 </w:t>
            </w:r>
          </w:p>
        </w:tc>
        <w:tc>
          <w:tcPr>
            <w:tcW w:w="6996" w:type="dxa"/>
            <w:gridSpan w:val="2"/>
            <w:vAlign w:val="center"/>
          </w:tcPr>
          <w:p w14:paraId="026E9B73">
            <w:pPr>
              <w:adjustRightInd w:val="0"/>
              <w:snapToGrid w:val="0"/>
              <w:rPr>
                <w:rFonts w:hint="eastAsia" w:ascii="宋体" w:hAnsi="宋体" w:eastAsia="宋体"/>
                <w:sz w:val="18"/>
                <w:szCs w:val="18"/>
              </w:rPr>
            </w:pPr>
            <w:r>
              <w:rPr>
                <w:rFonts w:hint="eastAsia" w:ascii="宋体" w:hAnsi="宋体" w:eastAsia="宋体"/>
                <w:sz w:val="18"/>
                <w:szCs w:val="18"/>
              </w:rPr>
              <w:t>安装方案设计、吊装质量控制系统责任人员，具有工程师职称</w:t>
            </w:r>
          </w:p>
        </w:tc>
      </w:tr>
      <w:tr w14:paraId="7ED04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985" w:type="dxa"/>
            <w:vMerge w:val="continue"/>
            <w:vAlign w:val="center"/>
          </w:tcPr>
          <w:p w14:paraId="1A19536C">
            <w:pPr>
              <w:adjustRightInd w:val="0"/>
              <w:snapToGrid w:val="0"/>
              <w:rPr>
                <w:rFonts w:hint="eastAsia" w:ascii="宋体" w:hAnsi="宋体" w:eastAsia="宋体"/>
                <w:sz w:val="18"/>
                <w:szCs w:val="18"/>
              </w:rPr>
            </w:pPr>
          </w:p>
        </w:tc>
        <w:tc>
          <w:tcPr>
            <w:tcW w:w="830" w:type="dxa"/>
            <w:vMerge w:val="continue"/>
          </w:tcPr>
          <w:p w14:paraId="58A22163">
            <w:pPr>
              <w:adjustRightInd w:val="0"/>
              <w:snapToGrid w:val="0"/>
              <w:rPr>
                <w:rFonts w:hint="eastAsia" w:ascii="宋体" w:hAnsi="宋体" w:eastAsia="宋体"/>
                <w:sz w:val="18"/>
                <w:szCs w:val="18"/>
              </w:rPr>
            </w:pPr>
          </w:p>
        </w:tc>
        <w:tc>
          <w:tcPr>
            <w:tcW w:w="2856" w:type="dxa"/>
            <w:gridSpan w:val="2"/>
            <w:vMerge w:val="continue"/>
          </w:tcPr>
          <w:p w14:paraId="5EE7B3EC">
            <w:pPr>
              <w:adjustRightInd w:val="0"/>
              <w:snapToGrid w:val="0"/>
              <w:rPr>
                <w:rFonts w:hint="eastAsia" w:ascii="宋体" w:hAnsi="宋体" w:eastAsia="宋体"/>
                <w:sz w:val="18"/>
                <w:szCs w:val="18"/>
              </w:rPr>
            </w:pPr>
          </w:p>
        </w:tc>
        <w:tc>
          <w:tcPr>
            <w:tcW w:w="3497" w:type="dxa"/>
            <w:vMerge w:val="continue"/>
            <w:vAlign w:val="center"/>
          </w:tcPr>
          <w:p w14:paraId="79EE4038">
            <w:pPr>
              <w:adjustRightInd w:val="0"/>
              <w:snapToGrid w:val="0"/>
              <w:rPr>
                <w:rFonts w:hint="eastAsia" w:ascii="宋体" w:hAnsi="宋体" w:eastAsia="宋体"/>
                <w:sz w:val="18"/>
                <w:szCs w:val="18"/>
              </w:rPr>
            </w:pPr>
          </w:p>
        </w:tc>
        <w:tc>
          <w:tcPr>
            <w:tcW w:w="6996" w:type="dxa"/>
            <w:gridSpan w:val="2"/>
            <w:vAlign w:val="center"/>
          </w:tcPr>
          <w:p w14:paraId="44229C3B">
            <w:pPr>
              <w:adjustRightInd w:val="0"/>
              <w:snapToGrid w:val="0"/>
              <w:rPr>
                <w:rFonts w:hint="eastAsia" w:ascii="宋体" w:hAnsi="宋体" w:eastAsia="宋体"/>
                <w:sz w:val="18"/>
                <w:szCs w:val="18"/>
              </w:rPr>
            </w:pPr>
            <w:r>
              <w:rPr>
                <w:rFonts w:hint="eastAsia" w:ascii="宋体" w:hAnsi="宋体" w:eastAsia="宋体"/>
                <w:sz w:val="18"/>
                <w:szCs w:val="18"/>
              </w:rPr>
              <w:t>焊接、调试、检验质量控制系统责任人员，具有助理工程师职称</w:t>
            </w:r>
          </w:p>
        </w:tc>
      </w:tr>
      <w:tr w14:paraId="31916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vMerge w:val="continue"/>
          </w:tcPr>
          <w:p w14:paraId="186F30EF">
            <w:pPr>
              <w:adjustRightInd w:val="0"/>
              <w:snapToGrid w:val="0"/>
              <w:rPr>
                <w:rFonts w:hint="eastAsia" w:ascii="宋体" w:hAnsi="宋体" w:eastAsia="宋体"/>
                <w:sz w:val="18"/>
                <w:szCs w:val="18"/>
              </w:rPr>
            </w:pPr>
          </w:p>
        </w:tc>
        <w:tc>
          <w:tcPr>
            <w:tcW w:w="3686" w:type="dxa"/>
            <w:gridSpan w:val="3"/>
            <w:vAlign w:val="center"/>
          </w:tcPr>
          <w:p w14:paraId="7CB50BF9">
            <w:pPr>
              <w:adjustRightInd w:val="0"/>
              <w:snapToGrid w:val="0"/>
              <w:rPr>
                <w:rFonts w:hint="eastAsia" w:ascii="宋体" w:hAnsi="宋体" w:eastAsia="宋体"/>
                <w:sz w:val="18"/>
                <w:szCs w:val="18"/>
              </w:rPr>
            </w:pPr>
            <w:r>
              <w:rPr>
                <w:rFonts w:hint="eastAsia" w:ascii="宋体" w:hAnsi="宋体" w:eastAsia="宋体"/>
                <w:sz w:val="18"/>
                <w:szCs w:val="18"/>
              </w:rPr>
              <w:t>3.技术人员</w:t>
            </w:r>
          </w:p>
        </w:tc>
        <w:tc>
          <w:tcPr>
            <w:tcW w:w="3497" w:type="dxa"/>
            <w:vAlign w:val="center"/>
          </w:tcPr>
          <w:p w14:paraId="489956C7">
            <w:pPr>
              <w:adjustRightInd w:val="0"/>
              <w:snapToGrid w:val="0"/>
              <w:rPr>
                <w:rFonts w:hint="eastAsia" w:ascii="宋体" w:hAnsi="宋体" w:eastAsia="宋体"/>
                <w:sz w:val="18"/>
                <w:szCs w:val="18"/>
              </w:rPr>
            </w:pPr>
            <w:r>
              <w:rPr>
                <w:rFonts w:hint="eastAsia" w:ascii="宋体" w:hAnsi="宋体" w:eastAsia="宋体"/>
                <w:sz w:val="18"/>
                <w:szCs w:val="18"/>
              </w:rPr>
              <w:t>具有助理工程师以上职称的机械和电气专业人员共不少于8人，其中具有工程师职称的人员不少6人。</w:t>
            </w:r>
          </w:p>
        </w:tc>
        <w:tc>
          <w:tcPr>
            <w:tcW w:w="3497" w:type="dxa"/>
            <w:vAlign w:val="center"/>
          </w:tcPr>
          <w:p w14:paraId="3DA2EBEE">
            <w:pPr>
              <w:adjustRightInd w:val="0"/>
              <w:snapToGrid w:val="0"/>
              <w:rPr>
                <w:rFonts w:hint="eastAsia" w:ascii="宋体" w:hAnsi="宋体" w:eastAsia="宋体"/>
                <w:sz w:val="18"/>
                <w:szCs w:val="18"/>
              </w:rPr>
            </w:pPr>
            <w:r>
              <w:rPr>
                <w:rFonts w:hint="eastAsia" w:ascii="宋体" w:hAnsi="宋体" w:eastAsia="宋体"/>
                <w:sz w:val="18"/>
                <w:szCs w:val="18"/>
              </w:rPr>
              <w:t>具有助理工程师以上职称的机械和电气专业人员共不少于6人，其中具有工程师职称的人员不少3人。</w:t>
            </w:r>
          </w:p>
        </w:tc>
        <w:tc>
          <w:tcPr>
            <w:tcW w:w="3499" w:type="dxa"/>
            <w:vAlign w:val="center"/>
          </w:tcPr>
          <w:p w14:paraId="2E41E8EC">
            <w:pPr>
              <w:adjustRightInd w:val="0"/>
              <w:snapToGrid w:val="0"/>
              <w:rPr>
                <w:rFonts w:hint="eastAsia" w:ascii="宋体" w:hAnsi="宋体" w:eastAsia="宋体"/>
                <w:sz w:val="18"/>
                <w:szCs w:val="18"/>
              </w:rPr>
            </w:pPr>
            <w:r>
              <w:rPr>
                <w:rFonts w:hint="eastAsia" w:ascii="宋体" w:hAnsi="宋体" w:eastAsia="宋体"/>
                <w:sz w:val="18"/>
                <w:szCs w:val="18"/>
              </w:rPr>
              <w:t>具有助理工程师以上职称的机械和电气专业人员共不少于8人，其中具有工程师职称的人员不少6人。</w:t>
            </w:r>
          </w:p>
        </w:tc>
      </w:tr>
      <w:tr w14:paraId="73943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vMerge w:val="continue"/>
          </w:tcPr>
          <w:p w14:paraId="3273E322">
            <w:pPr>
              <w:adjustRightInd w:val="0"/>
              <w:snapToGrid w:val="0"/>
              <w:rPr>
                <w:rFonts w:hint="eastAsia" w:ascii="宋体" w:hAnsi="宋体" w:eastAsia="宋体"/>
                <w:sz w:val="18"/>
                <w:szCs w:val="18"/>
              </w:rPr>
            </w:pPr>
          </w:p>
        </w:tc>
        <w:tc>
          <w:tcPr>
            <w:tcW w:w="3686" w:type="dxa"/>
            <w:gridSpan w:val="3"/>
            <w:vAlign w:val="center"/>
          </w:tcPr>
          <w:p w14:paraId="22DD5350">
            <w:pPr>
              <w:adjustRightInd w:val="0"/>
              <w:snapToGrid w:val="0"/>
              <w:rPr>
                <w:rFonts w:hint="eastAsia" w:ascii="宋体" w:hAnsi="宋体" w:eastAsia="宋体"/>
                <w:sz w:val="18"/>
                <w:szCs w:val="18"/>
              </w:rPr>
            </w:pPr>
            <w:r>
              <w:rPr>
                <w:rFonts w:hint="eastAsia" w:ascii="宋体" w:hAnsi="宋体" w:eastAsia="宋体"/>
                <w:sz w:val="18"/>
                <w:szCs w:val="18"/>
              </w:rPr>
              <w:t>4.检验人员</w:t>
            </w:r>
          </w:p>
        </w:tc>
        <w:tc>
          <w:tcPr>
            <w:tcW w:w="3497" w:type="dxa"/>
            <w:vAlign w:val="center"/>
          </w:tcPr>
          <w:p w14:paraId="1FD1F43D">
            <w:pPr>
              <w:adjustRightInd w:val="0"/>
              <w:snapToGrid w:val="0"/>
              <w:rPr>
                <w:rFonts w:hint="eastAsia" w:ascii="宋体" w:hAnsi="宋体" w:eastAsia="宋体"/>
                <w:sz w:val="18"/>
                <w:szCs w:val="18"/>
              </w:rPr>
            </w:pPr>
            <w:r>
              <w:rPr>
                <w:rFonts w:hint="eastAsia" w:ascii="宋体" w:hAnsi="宋体" w:eastAsia="宋体"/>
                <w:sz w:val="18"/>
                <w:szCs w:val="18"/>
              </w:rPr>
              <w:t>质量检验人员不少于4人。</w:t>
            </w:r>
          </w:p>
        </w:tc>
        <w:tc>
          <w:tcPr>
            <w:tcW w:w="3497" w:type="dxa"/>
            <w:vAlign w:val="center"/>
          </w:tcPr>
          <w:p w14:paraId="54938946">
            <w:pPr>
              <w:adjustRightInd w:val="0"/>
              <w:snapToGrid w:val="0"/>
              <w:rPr>
                <w:rFonts w:hint="eastAsia" w:ascii="宋体" w:hAnsi="宋体" w:eastAsia="宋体"/>
                <w:sz w:val="18"/>
                <w:szCs w:val="18"/>
              </w:rPr>
            </w:pPr>
            <w:r>
              <w:rPr>
                <w:rFonts w:hint="eastAsia" w:ascii="宋体" w:hAnsi="宋体" w:eastAsia="宋体"/>
                <w:sz w:val="18"/>
                <w:szCs w:val="18"/>
              </w:rPr>
              <w:t>质量检验人员不少于2人。</w:t>
            </w:r>
          </w:p>
        </w:tc>
        <w:tc>
          <w:tcPr>
            <w:tcW w:w="3499" w:type="dxa"/>
            <w:vAlign w:val="center"/>
          </w:tcPr>
          <w:p w14:paraId="3B06165A">
            <w:pPr>
              <w:adjustRightInd w:val="0"/>
              <w:snapToGrid w:val="0"/>
              <w:rPr>
                <w:rFonts w:hint="eastAsia" w:ascii="宋体" w:hAnsi="宋体" w:eastAsia="宋体"/>
                <w:sz w:val="18"/>
                <w:szCs w:val="18"/>
              </w:rPr>
            </w:pPr>
            <w:r>
              <w:rPr>
                <w:rFonts w:hint="eastAsia" w:ascii="宋体" w:hAnsi="宋体" w:eastAsia="宋体"/>
                <w:sz w:val="18"/>
                <w:szCs w:val="18"/>
              </w:rPr>
              <w:t>质量检验人员不少于4人。</w:t>
            </w:r>
          </w:p>
        </w:tc>
      </w:tr>
      <w:tr w14:paraId="27151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vMerge w:val="continue"/>
          </w:tcPr>
          <w:p w14:paraId="194002B1">
            <w:pPr>
              <w:adjustRightInd w:val="0"/>
              <w:snapToGrid w:val="0"/>
              <w:rPr>
                <w:rFonts w:hint="eastAsia" w:ascii="宋体" w:hAnsi="宋体" w:eastAsia="宋体"/>
                <w:sz w:val="18"/>
                <w:szCs w:val="18"/>
              </w:rPr>
            </w:pPr>
          </w:p>
        </w:tc>
        <w:tc>
          <w:tcPr>
            <w:tcW w:w="3686" w:type="dxa"/>
            <w:gridSpan w:val="3"/>
            <w:vAlign w:val="center"/>
          </w:tcPr>
          <w:p w14:paraId="47B3F114">
            <w:pPr>
              <w:adjustRightInd w:val="0"/>
              <w:snapToGrid w:val="0"/>
              <w:rPr>
                <w:rFonts w:hint="eastAsia" w:ascii="宋体" w:hAnsi="宋体" w:eastAsia="宋体"/>
                <w:sz w:val="18"/>
                <w:szCs w:val="18"/>
              </w:rPr>
            </w:pPr>
            <w:r>
              <w:rPr>
                <w:rFonts w:hint="eastAsia" w:ascii="宋体" w:hAnsi="宋体" w:eastAsia="宋体"/>
                <w:sz w:val="18"/>
                <w:szCs w:val="18"/>
              </w:rPr>
              <w:t>5.作业人员</w:t>
            </w:r>
          </w:p>
        </w:tc>
        <w:tc>
          <w:tcPr>
            <w:tcW w:w="3497" w:type="dxa"/>
            <w:vAlign w:val="center"/>
          </w:tcPr>
          <w:p w14:paraId="5D346F9E">
            <w:pPr>
              <w:adjustRightInd w:val="0"/>
              <w:snapToGrid w:val="0"/>
              <w:rPr>
                <w:rFonts w:hint="eastAsia" w:ascii="宋体" w:hAnsi="宋体" w:eastAsia="宋体"/>
                <w:sz w:val="18"/>
                <w:szCs w:val="18"/>
              </w:rPr>
            </w:pPr>
            <w:r>
              <w:rPr>
                <w:rFonts w:hint="eastAsia" w:ascii="宋体" w:hAnsi="宋体" w:eastAsia="宋体"/>
                <w:sz w:val="18"/>
                <w:szCs w:val="18"/>
              </w:rPr>
              <w:t>安装人员不少于8人，指挥不少于2人，司机不少于2人，焊工不少于2人，电工不少于2人。</w:t>
            </w:r>
          </w:p>
        </w:tc>
        <w:tc>
          <w:tcPr>
            <w:tcW w:w="3497" w:type="dxa"/>
            <w:vAlign w:val="center"/>
          </w:tcPr>
          <w:p w14:paraId="3FAAFB0E">
            <w:pPr>
              <w:adjustRightInd w:val="0"/>
              <w:snapToGrid w:val="0"/>
              <w:rPr>
                <w:rFonts w:hint="eastAsia" w:ascii="宋体" w:hAnsi="宋体" w:eastAsia="宋体"/>
                <w:sz w:val="18"/>
                <w:szCs w:val="18"/>
              </w:rPr>
            </w:pPr>
            <w:r>
              <w:rPr>
                <w:rFonts w:hint="eastAsia" w:ascii="宋体" w:hAnsi="宋体" w:eastAsia="宋体"/>
                <w:sz w:val="18"/>
                <w:szCs w:val="18"/>
              </w:rPr>
              <w:t>安装人员不少于5人，指挥至少1人，司机至少1人，焊工至少1人，电工至少1人。</w:t>
            </w:r>
          </w:p>
        </w:tc>
        <w:tc>
          <w:tcPr>
            <w:tcW w:w="3499" w:type="dxa"/>
            <w:vAlign w:val="center"/>
          </w:tcPr>
          <w:p w14:paraId="1D6E2F31">
            <w:pPr>
              <w:adjustRightInd w:val="0"/>
              <w:snapToGrid w:val="0"/>
              <w:rPr>
                <w:rFonts w:hint="eastAsia" w:ascii="宋体" w:hAnsi="宋体" w:eastAsia="宋体"/>
                <w:sz w:val="18"/>
                <w:szCs w:val="18"/>
              </w:rPr>
            </w:pPr>
            <w:r>
              <w:rPr>
                <w:rFonts w:hint="eastAsia" w:ascii="宋体" w:hAnsi="宋体" w:eastAsia="宋体"/>
                <w:sz w:val="18"/>
                <w:szCs w:val="18"/>
              </w:rPr>
              <w:t>安装人员不少于6人，指挥不少于2人，司机不少于2人，焊工不少于2人，电工不少于2人。</w:t>
            </w:r>
          </w:p>
        </w:tc>
      </w:tr>
      <w:tr w14:paraId="1513F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vMerge w:val="continue"/>
          </w:tcPr>
          <w:p w14:paraId="6FDB5F9A">
            <w:pPr>
              <w:adjustRightInd w:val="0"/>
              <w:snapToGrid w:val="0"/>
              <w:rPr>
                <w:rFonts w:hint="eastAsia" w:ascii="宋体" w:hAnsi="宋体" w:eastAsia="宋体"/>
                <w:sz w:val="18"/>
                <w:szCs w:val="18"/>
              </w:rPr>
            </w:pPr>
          </w:p>
        </w:tc>
        <w:tc>
          <w:tcPr>
            <w:tcW w:w="3686" w:type="dxa"/>
            <w:gridSpan w:val="3"/>
            <w:vAlign w:val="center"/>
          </w:tcPr>
          <w:p w14:paraId="4DEF811E">
            <w:pPr>
              <w:adjustRightInd w:val="0"/>
              <w:snapToGrid w:val="0"/>
              <w:rPr>
                <w:rFonts w:hint="eastAsia" w:ascii="宋体" w:hAnsi="宋体" w:eastAsia="宋体"/>
                <w:sz w:val="18"/>
                <w:szCs w:val="18"/>
              </w:rPr>
            </w:pPr>
            <w:r>
              <w:rPr>
                <w:rFonts w:hint="eastAsia" w:ascii="宋体" w:hAnsi="宋体" w:eastAsia="宋体"/>
                <w:sz w:val="18"/>
                <w:szCs w:val="18"/>
              </w:rPr>
              <w:t>6.项目负责人</w:t>
            </w:r>
          </w:p>
        </w:tc>
        <w:tc>
          <w:tcPr>
            <w:tcW w:w="3497" w:type="dxa"/>
            <w:vAlign w:val="center"/>
          </w:tcPr>
          <w:p w14:paraId="78394492">
            <w:pPr>
              <w:adjustRightInd w:val="0"/>
              <w:snapToGrid w:val="0"/>
              <w:rPr>
                <w:rFonts w:hint="eastAsia" w:ascii="宋体" w:hAnsi="宋体" w:eastAsia="宋体"/>
                <w:sz w:val="18"/>
                <w:szCs w:val="18"/>
              </w:rPr>
            </w:pPr>
            <w:r>
              <w:rPr>
                <w:rFonts w:hint="eastAsia" w:ascii="宋体" w:hAnsi="宋体" w:eastAsia="宋体"/>
                <w:sz w:val="18"/>
                <w:szCs w:val="18"/>
              </w:rPr>
              <w:t>具有工程师职称，机械或者电气类相关专业毕业，具有起重机械安装工作经历。</w:t>
            </w:r>
          </w:p>
        </w:tc>
        <w:tc>
          <w:tcPr>
            <w:tcW w:w="3497" w:type="dxa"/>
          </w:tcPr>
          <w:p w14:paraId="48088BBA">
            <w:pPr>
              <w:adjustRightInd w:val="0"/>
              <w:snapToGrid w:val="0"/>
              <w:rPr>
                <w:rFonts w:hint="eastAsia" w:ascii="宋体" w:hAnsi="宋体" w:eastAsia="宋体"/>
                <w:sz w:val="18"/>
                <w:szCs w:val="18"/>
              </w:rPr>
            </w:pPr>
            <w:r>
              <w:rPr>
                <w:rFonts w:hint="eastAsia" w:ascii="宋体" w:hAnsi="宋体" w:eastAsia="宋体"/>
                <w:sz w:val="18"/>
                <w:szCs w:val="18"/>
              </w:rPr>
              <w:t>具有助理工程师职称，机械或者电气类相关专业毕业，具有起重机械安装工作经历。</w:t>
            </w:r>
          </w:p>
        </w:tc>
        <w:tc>
          <w:tcPr>
            <w:tcW w:w="3499" w:type="dxa"/>
            <w:vAlign w:val="center"/>
          </w:tcPr>
          <w:p w14:paraId="0AE52DA0">
            <w:pPr>
              <w:adjustRightInd w:val="0"/>
              <w:snapToGrid w:val="0"/>
              <w:rPr>
                <w:rFonts w:hint="eastAsia" w:ascii="宋体" w:hAnsi="宋体" w:eastAsia="宋体"/>
                <w:sz w:val="18"/>
                <w:szCs w:val="18"/>
              </w:rPr>
            </w:pPr>
            <w:r>
              <w:rPr>
                <w:rFonts w:hint="eastAsia" w:ascii="宋体" w:hAnsi="宋体" w:eastAsia="宋体"/>
                <w:sz w:val="18"/>
                <w:szCs w:val="18"/>
              </w:rPr>
              <w:t>具有工程师职称，机械或者电气类相关专业毕业，具有起重机械安装工作经历。</w:t>
            </w:r>
          </w:p>
        </w:tc>
      </w:tr>
      <w:tr w14:paraId="38EBC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vMerge w:val="restart"/>
            <w:vAlign w:val="center"/>
          </w:tcPr>
          <w:p w14:paraId="3A2ECC0F">
            <w:pPr>
              <w:adjustRightInd w:val="0"/>
              <w:snapToGrid w:val="0"/>
              <w:rPr>
                <w:rFonts w:hint="eastAsia" w:ascii="宋体" w:hAnsi="宋体" w:eastAsia="宋体"/>
                <w:sz w:val="18"/>
                <w:szCs w:val="18"/>
              </w:rPr>
            </w:pPr>
            <w:r>
              <w:rPr>
                <w:rFonts w:hint="eastAsia"/>
              </w:rPr>
              <w:t>起重机械制造（含安装、修理、改造）</w:t>
            </w:r>
          </w:p>
        </w:tc>
        <w:tc>
          <w:tcPr>
            <w:tcW w:w="3677" w:type="dxa"/>
            <w:gridSpan w:val="2"/>
            <w:vAlign w:val="center"/>
          </w:tcPr>
          <w:p w14:paraId="30574074">
            <w:pPr>
              <w:adjustRightInd w:val="0"/>
              <w:snapToGrid w:val="0"/>
              <w:rPr>
                <w:rFonts w:hint="eastAsia" w:ascii="宋体" w:hAnsi="宋体" w:eastAsia="宋体"/>
                <w:sz w:val="18"/>
                <w:szCs w:val="18"/>
              </w:rPr>
            </w:pPr>
            <w:r>
              <w:rPr>
                <w:rFonts w:hint="eastAsia" w:ascii="宋体" w:hAnsi="宋体" w:eastAsia="宋体"/>
                <w:sz w:val="18"/>
                <w:szCs w:val="18"/>
              </w:rPr>
              <w:t>1.技术负责人</w:t>
            </w:r>
          </w:p>
        </w:tc>
        <w:tc>
          <w:tcPr>
            <w:tcW w:w="3506" w:type="dxa"/>
            <w:gridSpan w:val="2"/>
            <w:vAlign w:val="center"/>
          </w:tcPr>
          <w:p w14:paraId="1E50764A">
            <w:pPr>
              <w:adjustRightInd w:val="0"/>
              <w:snapToGrid w:val="0"/>
              <w:rPr>
                <w:rFonts w:hint="eastAsia" w:ascii="宋体" w:hAnsi="宋体" w:eastAsia="宋体"/>
                <w:sz w:val="18"/>
                <w:szCs w:val="18"/>
              </w:rPr>
            </w:pPr>
            <w:r>
              <w:rPr>
                <w:rFonts w:hint="eastAsia" w:ascii="宋体" w:hAnsi="宋体" w:eastAsia="宋体"/>
                <w:sz w:val="18"/>
                <w:szCs w:val="18"/>
              </w:rPr>
              <w:t>具有高级工程师职称，机械或电气类相关专业。</w:t>
            </w:r>
          </w:p>
        </w:tc>
        <w:tc>
          <w:tcPr>
            <w:tcW w:w="6996" w:type="dxa"/>
            <w:gridSpan w:val="2"/>
            <w:vAlign w:val="center"/>
          </w:tcPr>
          <w:p w14:paraId="0FD6A7B0">
            <w:pPr>
              <w:adjustRightInd w:val="0"/>
              <w:snapToGrid w:val="0"/>
              <w:jc w:val="center"/>
              <w:rPr>
                <w:rFonts w:hint="eastAsia" w:ascii="宋体" w:hAnsi="宋体" w:eastAsia="宋体"/>
                <w:sz w:val="18"/>
                <w:szCs w:val="18"/>
              </w:rPr>
            </w:pPr>
            <w:r>
              <w:rPr>
                <w:rFonts w:hint="eastAsia" w:ascii="宋体" w:hAnsi="宋体" w:eastAsia="宋体"/>
                <w:sz w:val="18"/>
                <w:szCs w:val="18"/>
              </w:rPr>
              <w:t>具有工程师职称，机械或电气类相关专业。</w:t>
            </w:r>
          </w:p>
        </w:tc>
      </w:tr>
      <w:tr w14:paraId="14A57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vMerge w:val="continue"/>
          </w:tcPr>
          <w:p w14:paraId="47D4F018">
            <w:pPr>
              <w:adjustRightInd w:val="0"/>
              <w:snapToGrid w:val="0"/>
              <w:rPr>
                <w:rFonts w:hint="eastAsia" w:ascii="宋体" w:hAnsi="宋体" w:eastAsia="宋体"/>
                <w:sz w:val="18"/>
                <w:szCs w:val="18"/>
              </w:rPr>
            </w:pPr>
          </w:p>
        </w:tc>
        <w:tc>
          <w:tcPr>
            <w:tcW w:w="830" w:type="dxa"/>
            <w:vMerge w:val="restart"/>
            <w:vAlign w:val="center"/>
          </w:tcPr>
          <w:p w14:paraId="4F0B9392">
            <w:pPr>
              <w:adjustRightInd w:val="0"/>
              <w:snapToGrid w:val="0"/>
              <w:rPr>
                <w:rFonts w:hint="eastAsia" w:ascii="宋体" w:hAnsi="宋体" w:eastAsia="宋体"/>
                <w:sz w:val="18"/>
                <w:szCs w:val="18"/>
              </w:rPr>
            </w:pPr>
            <w:r>
              <w:rPr>
                <w:rFonts w:hint="eastAsia" w:ascii="宋体" w:hAnsi="宋体" w:eastAsia="宋体"/>
                <w:sz w:val="18"/>
                <w:szCs w:val="18"/>
              </w:rPr>
              <w:t>2.质量保证体系人员</w:t>
            </w:r>
          </w:p>
        </w:tc>
        <w:tc>
          <w:tcPr>
            <w:tcW w:w="2847" w:type="dxa"/>
          </w:tcPr>
          <w:p w14:paraId="0A29337D">
            <w:pPr>
              <w:adjustRightInd w:val="0"/>
              <w:snapToGrid w:val="0"/>
              <w:rPr>
                <w:rFonts w:hint="eastAsia" w:ascii="宋体" w:hAnsi="宋体" w:eastAsia="宋体"/>
                <w:sz w:val="18"/>
                <w:szCs w:val="18"/>
              </w:rPr>
            </w:pPr>
            <w:r>
              <w:rPr>
                <w:rFonts w:hint="eastAsia" w:ascii="宋体" w:hAnsi="宋体" w:eastAsia="宋体"/>
                <w:sz w:val="18"/>
                <w:szCs w:val="18"/>
              </w:rPr>
              <w:t>1）质量保证工程师</w:t>
            </w:r>
          </w:p>
        </w:tc>
        <w:tc>
          <w:tcPr>
            <w:tcW w:w="10502" w:type="dxa"/>
            <w:gridSpan w:val="4"/>
            <w:vAlign w:val="center"/>
          </w:tcPr>
          <w:p w14:paraId="69A90804">
            <w:pPr>
              <w:adjustRightInd w:val="0"/>
              <w:snapToGrid w:val="0"/>
              <w:jc w:val="center"/>
              <w:rPr>
                <w:rFonts w:hint="eastAsia" w:ascii="宋体" w:hAnsi="宋体" w:eastAsia="宋体"/>
                <w:sz w:val="18"/>
                <w:szCs w:val="18"/>
              </w:rPr>
            </w:pPr>
            <w:r>
              <w:rPr>
                <w:rFonts w:hint="eastAsia" w:ascii="宋体" w:hAnsi="宋体" w:eastAsia="宋体"/>
                <w:sz w:val="18"/>
                <w:szCs w:val="18"/>
              </w:rPr>
              <w:t>具有工程师职称</w:t>
            </w:r>
          </w:p>
        </w:tc>
      </w:tr>
      <w:tr w14:paraId="71ABE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85" w:type="dxa"/>
            <w:vMerge w:val="continue"/>
            <w:vAlign w:val="center"/>
          </w:tcPr>
          <w:p w14:paraId="2AF34CA5">
            <w:pPr>
              <w:adjustRightInd w:val="0"/>
              <w:snapToGrid w:val="0"/>
              <w:rPr>
                <w:rFonts w:hint="eastAsia" w:ascii="宋体" w:hAnsi="宋体" w:eastAsia="宋体"/>
                <w:sz w:val="18"/>
                <w:szCs w:val="18"/>
              </w:rPr>
            </w:pPr>
          </w:p>
        </w:tc>
        <w:tc>
          <w:tcPr>
            <w:tcW w:w="830" w:type="dxa"/>
            <w:vMerge w:val="continue"/>
          </w:tcPr>
          <w:p w14:paraId="52D0321A">
            <w:pPr>
              <w:adjustRightInd w:val="0"/>
              <w:snapToGrid w:val="0"/>
              <w:rPr>
                <w:rFonts w:hint="eastAsia" w:ascii="宋体" w:hAnsi="宋体" w:eastAsia="宋体"/>
                <w:sz w:val="18"/>
                <w:szCs w:val="18"/>
              </w:rPr>
            </w:pPr>
          </w:p>
        </w:tc>
        <w:tc>
          <w:tcPr>
            <w:tcW w:w="2847" w:type="dxa"/>
            <w:vMerge w:val="restart"/>
            <w:vAlign w:val="center"/>
          </w:tcPr>
          <w:p w14:paraId="181EF952">
            <w:pPr>
              <w:adjustRightInd w:val="0"/>
              <w:snapToGrid w:val="0"/>
              <w:rPr>
                <w:rFonts w:hint="eastAsia" w:ascii="宋体" w:hAnsi="宋体" w:eastAsia="宋体"/>
                <w:sz w:val="18"/>
                <w:szCs w:val="18"/>
              </w:rPr>
            </w:pPr>
            <w:r>
              <w:rPr>
                <w:rFonts w:hint="eastAsia" w:ascii="宋体" w:hAnsi="宋体" w:eastAsia="宋体"/>
                <w:sz w:val="18"/>
                <w:szCs w:val="18"/>
              </w:rPr>
              <w:t>2）各质量控制系统责任人员：</w:t>
            </w:r>
          </w:p>
          <w:p w14:paraId="774F8B83">
            <w:pPr>
              <w:adjustRightInd w:val="0"/>
              <w:snapToGrid w:val="0"/>
              <w:rPr>
                <w:rFonts w:hint="eastAsia" w:ascii="宋体" w:hAnsi="宋体" w:eastAsia="宋体"/>
                <w:sz w:val="18"/>
                <w:szCs w:val="18"/>
              </w:rPr>
            </w:pPr>
            <w:r>
              <w:rPr>
                <w:rFonts w:hint="eastAsia" w:ascii="宋体" w:hAnsi="宋体" w:eastAsia="宋体"/>
                <w:sz w:val="18"/>
                <w:szCs w:val="18"/>
              </w:rPr>
              <w:t>①设计、②工艺、③材料与零部件、④焊接</w:t>
            </w:r>
            <w:bookmarkStart w:id="3" w:name="OLE_LINK11"/>
            <w:r>
              <w:rPr>
                <w:rFonts w:hint="eastAsia" w:ascii="宋体" w:hAnsi="宋体" w:eastAsia="宋体"/>
                <w:sz w:val="18"/>
                <w:szCs w:val="18"/>
              </w:rPr>
              <w:t>、</w:t>
            </w:r>
            <w:bookmarkEnd w:id="3"/>
            <w:r>
              <w:rPr>
                <w:rFonts w:hint="eastAsia" w:ascii="宋体" w:hAnsi="宋体" w:eastAsia="宋体"/>
                <w:sz w:val="18"/>
                <w:szCs w:val="18"/>
              </w:rPr>
              <w:t>⑤电控系统制作、⑥产品检验、⑦安装调试质量控制系统责任人员，机械或者电气类相关专业毕业，⑧无损检测质量控制系统责任人员，无损检测相关专业毕业或者具有Ⅱ级无损检测人员资格</w:t>
            </w:r>
          </w:p>
        </w:tc>
        <w:tc>
          <w:tcPr>
            <w:tcW w:w="3506" w:type="dxa"/>
            <w:gridSpan w:val="2"/>
            <w:vAlign w:val="center"/>
          </w:tcPr>
          <w:p w14:paraId="41A820CB">
            <w:pPr>
              <w:adjustRightInd w:val="0"/>
              <w:snapToGrid w:val="0"/>
              <w:rPr>
                <w:rFonts w:hint="eastAsia" w:ascii="宋体" w:hAnsi="宋体" w:eastAsia="宋体"/>
                <w:sz w:val="18"/>
                <w:szCs w:val="18"/>
              </w:rPr>
            </w:pPr>
            <w:r>
              <w:rPr>
                <w:rFonts w:hint="eastAsia" w:ascii="宋体" w:hAnsi="宋体" w:eastAsia="宋体"/>
                <w:sz w:val="18"/>
                <w:szCs w:val="18"/>
              </w:rPr>
              <w:t xml:space="preserve">设计、工艺质量控制系统责任人员，具有高级工程师职称 </w:t>
            </w:r>
          </w:p>
        </w:tc>
        <w:tc>
          <w:tcPr>
            <w:tcW w:w="3497" w:type="dxa"/>
            <w:vAlign w:val="center"/>
          </w:tcPr>
          <w:p w14:paraId="69FEDD7E">
            <w:pPr>
              <w:adjustRightInd w:val="0"/>
              <w:snapToGrid w:val="0"/>
              <w:rPr>
                <w:rFonts w:hint="eastAsia" w:ascii="宋体" w:hAnsi="宋体" w:eastAsia="宋体"/>
                <w:sz w:val="18"/>
                <w:szCs w:val="18"/>
              </w:rPr>
            </w:pPr>
            <w:r>
              <w:rPr>
                <w:rFonts w:hint="eastAsia" w:ascii="宋体" w:hAnsi="宋体" w:eastAsia="宋体"/>
                <w:sz w:val="18"/>
                <w:szCs w:val="18"/>
              </w:rPr>
              <w:t>设计、工艺、电控系统制作质量控制系统责任人员，具有工程师职称</w:t>
            </w:r>
          </w:p>
        </w:tc>
        <w:tc>
          <w:tcPr>
            <w:tcW w:w="3499" w:type="dxa"/>
            <w:vAlign w:val="center"/>
          </w:tcPr>
          <w:p w14:paraId="71840B21">
            <w:pPr>
              <w:adjustRightInd w:val="0"/>
              <w:snapToGrid w:val="0"/>
              <w:rPr>
                <w:rFonts w:hint="eastAsia" w:ascii="宋体" w:hAnsi="宋体" w:eastAsia="宋体"/>
                <w:sz w:val="18"/>
                <w:szCs w:val="18"/>
              </w:rPr>
            </w:pPr>
            <w:r>
              <w:rPr>
                <w:rFonts w:hint="eastAsia" w:ascii="宋体" w:hAnsi="宋体" w:eastAsia="宋体"/>
                <w:sz w:val="18"/>
                <w:szCs w:val="18"/>
              </w:rPr>
              <w:t>设计、工艺、焊接、电控系统制作质量控制系统责任人员，具有工程师职称</w:t>
            </w:r>
          </w:p>
        </w:tc>
      </w:tr>
      <w:tr w14:paraId="5E9DF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985" w:type="dxa"/>
            <w:vMerge w:val="continue"/>
            <w:vAlign w:val="center"/>
          </w:tcPr>
          <w:p w14:paraId="69F511B4">
            <w:pPr>
              <w:adjustRightInd w:val="0"/>
              <w:snapToGrid w:val="0"/>
              <w:rPr>
                <w:rFonts w:hint="eastAsia" w:ascii="宋体" w:hAnsi="宋体" w:eastAsia="宋体"/>
                <w:sz w:val="18"/>
                <w:szCs w:val="18"/>
              </w:rPr>
            </w:pPr>
          </w:p>
        </w:tc>
        <w:tc>
          <w:tcPr>
            <w:tcW w:w="830" w:type="dxa"/>
            <w:vMerge w:val="continue"/>
          </w:tcPr>
          <w:p w14:paraId="79B51C40">
            <w:pPr>
              <w:adjustRightInd w:val="0"/>
              <w:snapToGrid w:val="0"/>
              <w:rPr>
                <w:rFonts w:hint="eastAsia" w:ascii="宋体" w:hAnsi="宋体" w:eastAsia="宋体"/>
                <w:sz w:val="18"/>
                <w:szCs w:val="18"/>
              </w:rPr>
            </w:pPr>
          </w:p>
        </w:tc>
        <w:tc>
          <w:tcPr>
            <w:tcW w:w="2847" w:type="dxa"/>
            <w:vMerge w:val="continue"/>
          </w:tcPr>
          <w:p w14:paraId="3409B8BD">
            <w:pPr>
              <w:adjustRightInd w:val="0"/>
              <w:snapToGrid w:val="0"/>
              <w:rPr>
                <w:rFonts w:hint="eastAsia" w:ascii="宋体" w:hAnsi="宋体" w:eastAsia="宋体"/>
                <w:sz w:val="18"/>
                <w:szCs w:val="18"/>
              </w:rPr>
            </w:pPr>
          </w:p>
        </w:tc>
        <w:tc>
          <w:tcPr>
            <w:tcW w:w="3506" w:type="dxa"/>
            <w:gridSpan w:val="2"/>
            <w:vAlign w:val="center"/>
          </w:tcPr>
          <w:p w14:paraId="7400FD4E">
            <w:pPr>
              <w:adjustRightInd w:val="0"/>
              <w:snapToGrid w:val="0"/>
              <w:rPr>
                <w:rFonts w:hint="eastAsia" w:ascii="宋体" w:hAnsi="宋体" w:eastAsia="宋体"/>
                <w:sz w:val="18"/>
                <w:szCs w:val="18"/>
              </w:rPr>
            </w:pPr>
            <w:r>
              <w:rPr>
                <w:rFonts w:hint="eastAsia" w:ascii="宋体" w:hAnsi="宋体" w:eastAsia="宋体"/>
                <w:sz w:val="18"/>
                <w:szCs w:val="18"/>
              </w:rPr>
              <w:t>材料与零部件、焊接、电控系统制作、产品检验、安装调试质量控制系统责任人员，具有工程师职称</w:t>
            </w:r>
          </w:p>
        </w:tc>
        <w:tc>
          <w:tcPr>
            <w:tcW w:w="3497" w:type="dxa"/>
            <w:vAlign w:val="center"/>
          </w:tcPr>
          <w:p w14:paraId="65028096">
            <w:pPr>
              <w:adjustRightInd w:val="0"/>
              <w:snapToGrid w:val="0"/>
              <w:rPr>
                <w:rFonts w:hint="eastAsia" w:ascii="宋体" w:hAnsi="宋体" w:eastAsia="宋体"/>
                <w:sz w:val="18"/>
                <w:szCs w:val="18"/>
              </w:rPr>
            </w:pPr>
            <w:r>
              <w:rPr>
                <w:rFonts w:hint="eastAsia" w:ascii="宋体" w:hAnsi="宋体" w:eastAsia="宋体"/>
                <w:sz w:val="18"/>
                <w:szCs w:val="18"/>
              </w:rPr>
              <w:t>焊接、材料与零部件、产品检验、安装调试质量控制系统责任人员，具有助理工程师职称</w:t>
            </w:r>
          </w:p>
        </w:tc>
        <w:tc>
          <w:tcPr>
            <w:tcW w:w="3499" w:type="dxa"/>
            <w:vAlign w:val="center"/>
          </w:tcPr>
          <w:p w14:paraId="2C0BE006">
            <w:pPr>
              <w:adjustRightInd w:val="0"/>
              <w:snapToGrid w:val="0"/>
              <w:rPr>
                <w:rFonts w:hint="eastAsia" w:ascii="宋体" w:hAnsi="宋体" w:eastAsia="宋体"/>
                <w:sz w:val="18"/>
                <w:szCs w:val="18"/>
              </w:rPr>
            </w:pPr>
            <w:r>
              <w:rPr>
                <w:rFonts w:hint="eastAsia" w:ascii="宋体" w:hAnsi="宋体" w:eastAsia="宋体"/>
                <w:sz w:val="18"/>
                <w:szCs w:val="18"/>
              </w:rPr>
              <w:t>材料与零部件、产品检验、安装调试质量控制系统责任人员，具有助理工程师职称</w:t>
            </w:r>
          </w:p>
        </w:tc>
      </w:tr>
      <w:tr w14:paraId="2250C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985" w:type="dxa"/>
            <w:vMerge w:val="continue"/>
            <w:vAlign w:val="center"/>
          </w:tcPr>
          <w:p w14:paraId="6E348B8E">
            <w:pPr>
              <w:adjustRightInd w:val="0"/>
              <w:snapToGrid w:val="0"/>
              <w:rPr>
                <w:rFonts w:hint="eastAsia" w:ascii="宋体" w:hAnsi="宋体" w:eastAsia="宋体"/>
                <w:sz w:val="18"/>
                <w:szCs w:val="18"/>
              </w:rPr>
            </w:pPr>
          </w:p>
        </w:tc>
        <w:tc>
          <w:tcPr>
            <w:tcW w:w="830" w:type="dxa"/>
            <w:vMerge w:val="continue"/>
          </w:tcPr>
          <w:p w14:paraId="70DAA8E4">
            <w:pPr>
              <w:adjustRightInd w:val="0"/>
              <w:snapToGrid w:val="0"/>
              <w:rPr>
                <w:rFonts w:hint="eastAsia" w:ascii="宋体" w:hAnsi="宋体" w:eastAsia="宋体"/>
                <w:sz w:val="18"/>
                <w:szCs w:val="18"/>
              </w:rPr>
            </w:pPr>
          </w:p>
        </w:tc>
        <w:tc>
          <w:tcPr>
            <w:tcW w:w="2847" w:type="dxa"/>
            <w:vMerge w:val="continue"/>
          </w:tcPr>
          <w:p w14:paraId="0F8E18A9">
            <w:pPr>
              <w:adjustRightInd w:val="0"/>
              <w:snapToGrid w:val="0"/>
              <w:rPr>
                <w:rFonts w:hint="eastAsia" w:ascii="宋体" w:hAnsi="宋体" w:eastAsia="宋体"/>
                <w:sz w:val="18"/>
                <w:szCs w:val="18"/>
              </w:rPr>
            </w:pPr>
          </w:p>
        </w:tc>
        <w:tc>
          <w:tcPr>
            <w:tcW w:w="10502" w:type="dxa"/>
            <w:gridSpan w:val="4"/>
            <w:vAlign w:val="center"/>
          </w:tcPr>
          <w:p w14:paraId="5954B92D">
            <w:pPr>
              <w:adjustRightInd w:val="0"/>
              <w:snapToGrid w:val="0"/>
              <w:jc w:val="center"/>
              <w:rPr>
                <w:rFonts w:hint="eastAsia" w:ascii="宋体" w:hAnsi="宋体" w:eastAsia="宋体"/>
                <w:sz w:val="18"/>
                <w:szCs w:val="18"/>
              </w:rPr>
            </w:pPr>
            <w:r>
              <w:rPr>
                <w:rFonts w:hint="eastAsia" w:ascii="宋体" w:hAnsi="宋体" w:eastAsia="宋体"/>
                <w:sz w:val="18"/>
                <w:szCs w:val="18"/>
              </w:rPr>
              <w:t>无损检测质量控制系统责任人员，具有工程师职称，无损检测相关专业毕业或者具有Ⅱ级无损检测人员资格</w:t>
            </w:r>
          </w:p>
        </w:tc>
      </w:tr>
      <w:tr w14:paraId="13E0D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vMerge w:val="continue"/>
          </w:tcPr>
          <w:p w14:paraId="10C29D47">
            <w:pPr>
              <w:adjustRightInd w:val="0"/>
              <w:snapToGrid w:val="0"/>
              <w:rPr>
                <w:rFonts w:hint="eastAsia" w:ascii="宋体" w:hAnsi="宋体" w:eastAsia="宋体"/>
                <w:sz w:val="18"/>
                <w:szCs w:val="18"/>
              </w:rPr>
            </w:pPr>
            <w:bookmarkStart w:id="4" w:name="_Hlk227160854"/>
            <w:bookmarkStart w:id="5" w:name="_Hlk227160827"/>
          </w:p>
        </w:tc>
        <w:tc>
          <w:tcPr>
            <w:tcW w:w="3677" w:type="dxa"/>
            <w:gridSpan w:val="2"/>
            <w:vAlign w:val="center"/>
          </w:tcPr>
          <w:p w14:paraId="15185E8C">
            <w:pPr>
              <w:adjustRightInd w:val="0"/>
              <w:snapToGrid w:val="0"/>
              <w:rPr>
                <w:rFonts w:hint="eastAsia" w:ascii="宋体" w:hAnsi="宋体" w:eastAsia="宋体"/>
                <w:sz w:val="18"/>
                <w:szCs w:val="18"/>
              </w:rPr>
            </w:pPr>
            <w:r>
              <w:rPr>
                <w:rFonts w:hint="eastAsia" w:ascii="宋体" w:hAnsi="宋体" w:eastAsia="宋体"/>
                <w:sz w:val="18"/>
                <w:szCs w:val="18"/>
              </w:rPr>
              <w:t>3.技术人员</w:t>
            </w:r>
          </w:p>
        </w:tc>
        <w:tc>
          <w:tcPr>
            <w:tcW w:w="3506" w:type="dxa"/>
            <w:gridSpan w:val="2"/>
            <w:vAlign w:val="center"/>
          </w:tcPr>
          <w:p w14:paraId="62EFEBB6">
            <w:pPr>
              <w:adjustRightInd w:val="0"/>
              <w:snapToGrid w:val="0"/>
              <w:rPr>
                <w:rFonts w:hint="eastAsia" w:ascii="宋体" w:hAnsi="宋体" w:eastAsia="宋体"/>
                <w:sz w:val="18"/>
                <w:szCs w:val="18"/>
              </w:rPr>
            </w:pPr>
            <w:r>
              <w:rPr>
                <w:rFonts w:hint="eastAsia" w:ascii="宋体" w:hAnsi="宋体" w:eastAsia="宋体"/>
                <w:sz w:val="18"/>
                <w:szCs w:val="18"/>
              </w:rPr>
              <w:t>具有工程师以上职称的机械和电气专业人员共不少</w:t>
            </w:r>
            <w:bookmarkStart w:id="6" w:name="OLE_LINK31"/>
            <w:r>
              <w:rPr>
                <w:rFonts w:hint="eastAsia" w:ascii="宋体" w:hAnsi="宋体" w:eastAsia="宋体"/>
                <w:sz w:val="18"/>
                <w:szCs w:val="18"/>
              </w:rPr>
              <w:t>于</w:t>
            </w:r>
            <w:bookmarkEnd w:id="6"/>
            <w:r>
              <w:rPr>
                <w:rFonts w:hint="eastAsia" w:ascii="宋体" w:hAnsi="宋体" w:eastAsia="宋体"/>
                <w:sz w:val="18"/>
                <w:szCs w:val="18"/>
              </w:rPr>
              <w:t>12人，其中具有高级工程师职称的人员不少于2人。</w:t>
            </w:r>
          </w:p>
        </w:tc>
        <w:tc>
          <w:tcPr>
            <w:tcW w:w="6996" w:type="dxa"/>
            <w:gridSpan w:val="2"/>
            <w:vAlign w:val="center"/>
          </w:tcPr>
          <w:p w14:paraId="29329091">
            <w:pPr>
              <w:adjustRightInd w:val="0"/>
              <w:snapToGrid w:val="0"/>
              <w:rPr>
                <w:rFonts w:hint="eastAsia" w:ascii="宋体" w:hAnsi="宋体" w:eastAsia="宋体"/>
                <w:sz w:val="18"/>
                <w:szCs w:val="18"/>
              </w:rPr>
            </w:pPr>
            <w:r>
              <w:rPr>
                <w:rFonts w:hint="eastAsia" w:ascii="宋体" w:hAnsi="宋体" w:eastAsia="宋体"/>
                <w:sz w:val="18"/>
                <w:szCs w:val="18"/>
              </w:rPr>
              <w:t>具有助理工程师以上职称的机械和电气专业人员共不少于12人，其中具有工程师职称的人员不少于6人。</w:t>
            </w:r>
          </w:p>
        </w:tc>
      </w:tr>
      <w:tr w14:paraId="663DE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vMerge w:val="continue"/>
          </w:tcPr>
          <w:p w14:paraId="32A3508B">
            <w:pPr>
              <w:adjustRightInd w:val="0"/>
              <w:snapToGrid w:val="0"/>
              <w:rPr>
                <w:rFonts w:hint="eastAsia" w:ascii="宋体" w:hAnsi="宋体" w:eastAsia="宋体"/>
                <w:sz w:val="18"/>
                <w:szCs w:val="18"/>
              </w:rPr>
            </w:pPr>
          </w:p>
        </w:tc>
        <w:tc>
          <w:tcPr>
            <w:tcW w:w="3677" w:type="dxa"/>
            <w:gridSpan w:val="2"/>
            <w:vAlign w:val="center"/>
          </w:tcPr>
          <w:p w14:paraId="3E55BE09">
            <w:pPr>
              <w:adjustRightInd w:val="0"/>
              <w:snapToGrid w:val="0"/>
              <w:rPr>
                <w:rFonts w:hint="eastAsia" w:ascii="宋体" w:hAnsi="宋体" w:eastAsia="宋体"/>
                <w:sz w:val="18"/>
                <w:szCs w:val="18"/>
              </w:rPr>
            </w:pPr>
            <w:r>
              <w:rPr>
                <w:rFonts w:hint="eastAsia" w:ascii="宋体" w:hAnsi="宋体" w:eastAsia="宋体"/>
                <w:sz w:val="18"/>
                <w:szCs w:val="18"/>
              </w:rPr>
              <w:t>4.检验人员</w:t>
            </w:r>
          </w:p>
        </w:tc>
        <w:tc>
          <w:tcPr>
            <w:tcW w:w="3506" w:type="dxa"/>
            <w:gridSpan w:val="2"/>
            <w:vAlign w:val="center"/>
          </w:tcPr>
          <w:p w14:paraId="7A683B6E">
            <w:pPr>
              <w:adjustRightInd w:val="0"/>
              <w:snapToGrid w:val="0"/>
              <w:rPr>
                <w:rFonts w:hint="eastAsia" w:ascii="宋体" w:hAnsi="宋体" w:eastAsia="宋体"/>
                <w:sz w:val="18"/>
                <w:szCs w:val="18"/>
              </w:rPr>
            </w:pPr>
            <w:r>
              <w:rPr>
                <w:rFonts w:hint="eastAsia" w:ascii="宋体" w:hAnsi="宋体" w:eastAsia="宋体"/>
                <w:sz w:val="18"/>
                <w:szCs w:val="18"/>
              </w:rPr>
              <w:t>专职质量检验人员不少于8人，其中包括持有相应Ⅱ级无损检测资格证的人员不少于2人(外委的不要求)。</w:t>
            </w:r>
          </w:p>
        </w:tc>
        <w:tc>
          <w:tcPr>
            <w:tcW w:w="6996" w:type="dxa"/>
            <w:gridSpan w:val="2"/>
            <w:vAlign w:val="center"/>
          </w:tcPr>
          <w:p w14:paraId="0BBCD4D7">
            <w:pPr>
              <w:adjustRightInd w:val="0"/>
              <w:snapToGrid w:val="0"/>
              <w:jc w:val="center"/>
              <w:rPr>
                <w:rFonts w:hint="eastAsia" w:ascii="宋体" w:hAnsi="宋体" w:eastAsia="宋体"/>
                <w:sz w:val="18"/>
                <w:szCs w:val="18"/>
              </w:rPr>
            </w:pPr>
            <w:r>
              <w:rPr>
                <w:rFonts w:hint="eastAsia" w:ascii="宋体" w:hAnsi="宋体" w:eastAsia="宋体"/>
                <w:sz w:val="18"/>
                <w:szCs w:val="18"/>
              </w:rPr>
              <w:t>专职质量检验人员不少于4人。</w:t>
            </w:r>
          </w:p>
        </w:tc>
      </w:tr>
      <w:bookmarkEnd w:id="4"/>
      <w:tr w14:paraId="5FF9F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vMerge w:val="continue"/>
          </w:tcPr>
          <w:p w14:paraId="6F28CF4D">
            <w:pPr>
              <w:adjustRightInd w:val="0"/>
              <w:snapToGrid w:val="0"/>
              <w:rPr>
                <w:rFonts w:hint="eastAsia" w:ascii="宋体" w:hAnsi="宋体" w:eastAsia="宋体"/>
                <w:sz w:val="18"/>
                <w:szCs w:val="18"/>
              </w:rPr>
            </w:pPr>
            <w:bookmarkStart w:id="7" w:name="_Hlk227160897"/>
          </w:p>
        </w:tc>
        <w:tc>
          <w:tcPr>
            <w:tcW w:w="3677" w:type="dxa"/>
            <w:gridSpan w:val="2"/>
            <w:vAlign w:val="center"/>
          </w:tcPr>
          <w:p w14:paraId="0BA5B0E4">
            <w:pPr>
              <w:adjustRightInd w:val="0"/>
              <w:snapToGrid w:val="0"/>
              <w:rPr>
                <w:rFonts w:hint="eastAsia" w:ascii="宋体" w:hAnsi="宋体" w:eastAsia="宋体"/>
                <w:sz w:val="18"/>
                <w:szCs w:val="18"/>
              </w:rPr>
            </w:pPr>
            <w:r>
              <w:rPr>
                <w:rFonts w:hint="eastAsia" w:ascii="宋体" w:hAnsi="宋体" w:eastAsia="宋体"/>
                <w:sz w:val="18"/>
                <w:szCs w:val="18"/>
              </w:rPr>
              <w:t>5.作业人员</w:t>
            </w:r>
          </w:p>
        </w:tc>
        <w:tc>
          <w:tcPr>
            <w:tcW w:w="3506" w:type="dxa"/>
            <w:gridSpan w:val="2"/>
            <w:vAlign w:val="center"/>
          </w:tcPr>
          <w:p w14:paraId="6E7FCE4D">
            <w:pPr>
              <w:adjustRightInd w:val="0"/>
              <w:snapToGrid w:val="0"/>
              <w:rPr>
                <w:rFonts w:hint="eastAsia" w:ascii="宋体" w:hAnsi="宋体" w:eastAsia="宋体"/>
                <w:sz w:val="18"/>
                <w:szCs w:val="18"/>
              </w:rPr>
            </w:pPr>
            <w:r>
              <w:rPr>
                <w:rFonts w:hint="eastAsia" w:ascii="宋体" w:hAnsi="宋体" w:eastAsia="宋体"/>
                <w:sz w:val="18"/>
                <w:szCs w:val="18"/>
              </w:rPr>
              <w:t>安装人员不少于8人，指挥不少于2人，司机不少于2人，焊工不少于20人，电工不少于5人。</w:t>
            </w:r>
          </w:p>
          <w:p w14:paraId="381A5802">
            <w:pPr>
              <w:adjustRightInd w:val="0"/>
              <w:snapToGrid w:val="0"/>
              <w:rPr>
                <w:rFonts w:hint="eastAsia" w:ascii="宋体" w:hAnsi="宋体" w:eastAsia="宋体"/>
                <w:sz w:val="18"/>
                <w:szCs w:val="18"/>
              </w:rPr>
            </w:pPr>
            <w:r>
              <w:rPr>
                <w:rFonts w:hint="eastAsia" w:ascii="宋体" w:hAnsi="宋体" w:eastAsia="宋体"/>
                <w:sz w:val="18"/>
                <w:szCs w:val="18"/>
              </w:rPr>
              <w:t>注:主要受力结构件采用自动焊接生产线或者焊接机器人焊接时，焊工的数量可以减50%，下同。</w:t>
            </w:r>
          </w:p>
        </w:tc>
        <w:tc>
          <w:tcPr>
            <w:tcW w:w="3497" w:type="dxa"/>
            <w:vAlign w:val="center"/>
          </w:tcPr>
          <w:p w14:paraId="65AF1E44">
            <w:pPr>
              <w:adjustRightInd w:val="0"/>
              <w:snapToGrid w:val="0"/>
              <w:rPr>
                <w:rFonts w:hint="eastAsia" w:ascii="宋体" w:hAnsi="宋体" w:eastAsia="宋体"/>
                <w:sz w:val="18"/>
                <w:szCs w:val="18"/>
              </w:rPr>
            </w:pPr>
            <w:r>
              <w:rPr>
                <w:rFonts w:hint="eastAsia" w:ascii="宋体" w:hAnsi="宋体" w:eastAsia="宋体"/>
                <w:sz w:val="18"/>
                <w:szCs w:val="18"/>
              </w:rPr>
              <w:t>安装人员不少于5人，指挥至少1人，司机至少1人，焊工不少于10人，电工不少于3人。</w:t>
            </w:r>
          </w:p>
        </w:tc>
        <w:tc>
          <w:tcPr>
            <w:tcW w:w="3499" w:type="dxa"/>
            <w:vAlign w:val="center"/>
          </w:tcPr>
          <w:p w14:paraId="0A28F2DE">
            <w:pPr>
              <w:adjustRightInd w:val="0"/>
              <w:snapToGrid w:val="0"/>
              <w:rPr>
                <w:rFonts w:hint="eastAsia" w:ascii="宋体" w:hAnsi="宋体" w:eastAsia="宋体"/>
                <w:sz w:val="18"/>
                <w:szCs w:val="18"/>
              </w:rPr>
            </w:pPr>
            <w:r>
              <w:rPr>
                <w:rFonts w:hint="eastAsia" w:ascii="宋体" w:hAnsi="宋体" w:eastAsia="宋体"/>
                <w:sz w:val="18"/>
                <w:szCs w:val="18"/>
              </w:rPr>
              <w:t>安装人员不少于6人，指挥至少1人，司机至少1人，焊工不少于10人，电工不少于3人。</w:t>
            </w:r>
          </w:p>
        </w:tc>
      </w:tr>
      <w:tr w14:paraId="70ECB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vMerge w:val="continue"/>
          </w:tcPr>
          <w:p w14:paraId="12CBDBA0">
            <w:pPr>
              <w:adjustRightInd w:val="0"/>
              <w:snapToGrid w:val="0"/>
              <w:rPr>
                <w:rFonts w:hint="eastAsia" w:ascii="宋体" w:hAnsi="宋体" w:eastAsia="宋体"/>
                <w:sz w:val="18"/>
                <w:szCs w:val="18"/>
              </w:rPr>
            </w:pPr>
          </w:p>
        </w:tc>
        <w:tc>
          <w:tcPr>
            <w:tcW w:w="3677" w:type="dxa"/>
            <w:gridSpan w:val="2"/>
            <w:vAlign w:val="center"/>
          </w:tcPr>
          <w:p w14:paraId="31B53C9A">
            <w:pPr>
              <w:adjustRightInd w:val="0"/>
              <w:snapToGrid w:val="0"/>
              <w:rPr>
                <w:rFonts w:hint="eastAsia" w:ascii="宋体" w:hAnsi="宋体" w:eastAsia="宋体"/>
                <w:sz w:val="18"/>
                <w:szCs w:val="18"/>
              </w:rPr>
            </w:pPr>
            <w:r>
              <w:rPr>
                <w:rFonts w:hint="eastAsia" w:ascii="宋体" w:hAnsi="宋体" w:eastAsia="宋体"/>
                <w:sz w:val="18"/>
                <w:szCs w:val="18"/>
              </w:rPr>
              <w:t>6.安装项目负责人</w:t>
            </w:r>
          </w:p>
        </w:tc>
        <w:tc>
          <w:tcPr>
            <w:tcW w:w="3506" w:type="dxa"/>
            <w:gridSpan w:val="2"/>
            <w:vAlign w:val="center"/>
          </w:tcPr>
          <w:p w14:paraId="10E2B19F">
            <w:pPr>
              <w:adjustRightInd w:val="0"/>
              <w:snapToGrid w:val="0"/>
              <w:rPr>
                <w:rFonts w:hint="eastAsia" w:ascii="宋体" w:hAnsi="宋体" w:eastAsia="宋体"/>
                <w:sz w:val="18"/>
                <w:szCs w:val="18"/>
              </w:rPr>
            </w:pPr>
            <w:r>
              <w:rPr>
                <w:rFonts w:hint="eastAsia" w:ascii="宋体" w:hAnsi="宋体" w:eastAsia="宋体"/>
                <w:sz w:val="18"/>
                <w:szCs w:val="18"/>
              </w:rPr>
              <w:t>具有工程师职称，机械或者电气类相关专业毕业，具有起重机械安装工作经历。</w:t>
            </w:r>
          </w:p>
        </w:tc>
        <w:tc>
          <w:tcPr>
            <w:tcW w:w="3497" w:type="dxa"/>
          </w:tcPr>
          <w:p w14:paraId="63C4D3C9">
            <w:pPr>
              <w:adjustRightInd w:val="0"/>
              <w:snapToGrid w:val="0"/>
              <w:rPr>
                <w:rFonts w:hint="eastAsia" w:ascii="宋体" w:hAnsi="宋体" w:eastAsia="宋体"/>
                <w:sz w:val="18"/>
                <w:szCs w:val="18"/>
              </w:rPr>
            </w:pPr>
            <w:r>
              <w:rPr>
                <w:rFonts w:hint="eastAsia" w:ascii="宋体" w:hAnsi="宋体" w:eastAsia="宋体"/>
                <w:sz w:val="18"/>
                <w:szCs w:val="18"/>
              </w:rPr>
              <w:t>具有助理工程师职称，机械或者电气类相关专业毕业，具有起重机械安装工作经历。</w:t>
            </w:r>
          </w:p>
        </w:tc>
        <w:tc>
          <w:tcPr>
            <w:tcW w:w="3499" w:type="dxa"/>
            <w:vAlign w:val="center"/>
          </w:tcPr>
          <w:p w14:paraId="10FDBA9C">
            <w:pPr>
              <w:adjustRightInd w:val="0"/>
              <w:snapToGrid w:val="0"/>
              <w:rPr>
                <w:rFonts w:hint="eastAsia" w:ascii="宋体" w:hAnsi="宋体" w:eastAsia="宋体"/>
                <w:sz w:val="18"/>
                <w:szCs w:val="18"/>
              </w:rPr>
            </w:pPr>
            <w:r>
              <w:rPr>
                <w:rFonts w:hint="eastAsia" w:ascii="宋体" w:hAnsi="宋体" w:eastAsia="宋体"/>
                <w:sz w:val="18"/>
                <w:szCs w:val="18"/>
              </w:rPr>
              <w:t>具有工程师职称，机械或者电气类相关专业毕业，具有起重机械安装工作经历。</w:t>
            </w:r>
          </w:p>
        </w:tc>
      </w:tr>
      <w:bookmarkEnd w:id="5"/>
      <w:bookmarkEnd w:id="7"/>
    </w:tbl>
    <w:p w14:paraId="45522793">
      <w:pPr>
        <w:adjustRightInd w:val="0"/>
        <w:snapToGrid w:val="0"/>
        <w:rPr>
          <w:rFonts w:hint="eastAsia" w:ascii="宋体" w:hAnsi="宋体" w:eastAsia="宋体" w:cs="仿宋"/>
          <w:bCs/>
          <w:szCs w:val="21"/>
        </w:rPr>
      </w:pPr>
    </w:p>
    <w:p w14:paraId="7BC5136E">
      <w:pPr>
        <w:pStyle w:val="20"/>
        <w:spacing w:line="560" w:lineRule="exact"/>
        <w:ind w:firstLine="640"/>
        <w:rPr>
          <w:rFonts w:hint="eastAsia" w:ascii="楷体" w:hAnsi="楷体" w:eastAsia="楷体" w:cs="楷体"/>
          <w:bCs/>
          <w:color w:val="000000"/>
          <w:sz w:val="32"/>
          <w:szCs w:val="32"/>
        </w:rPr>
        <w:sectPr>
          <w:pgSz w:w="16838" w:h="11906" w:orient="landscape"/>
          <w:pgMar w:top="1588" w:right="1928" w:bottom="1474" w:left="1814" w:header="851" w:footer="992" w:gutter="0"/>
          <w:pgNumType w:fmt="numberInDash"/>
          <w:cols w:space="0" w:num="1"/>
          <w:docGrid w:type="linesAndChars" w:linePitch="312" w:charSpace="0"/>
        </w:sectPr>
      </w:pPr>
    </w:p>
    <w:p w14:paraId="52876BC7">
      <w:pPr>
        <w:pStyle w:val="20"/>
        <w:spacing w:line="560" w:lineRule="exact"/>
        <w:ind w:firstLine="640"/>
        <w:rPr>
          <w:rFonts w:hint="eastAsia" w:ascii="黑体" w:hAnsi="黑体" w:eastAsia="黑体" w:cs="黑体"/>
          <w:bCs/>
          <w:color w:val="000000"/>
          <w:sz w:val="32"/>
          <w:szCs w:val="32"/>
        </w:rPr>
      </w:pPr>
      <w:r>
        <w:rPr>
          <w:rFonts w:hint="eastAsia" w:ascii="黑体" w:hAnsi="黑体" w:eastAsia="黑体" w:cs="黑体"/>
          <w:bCs/>
          <w:color w:val="000000"/>
          <w:sz w:val="32"/>
          <w:szCs w:val="32"/>
        </w:rPr>
        <w:t>五、项目时间</w:t>
      </w:r>
    </w:p>
    <w:p w14:paraId="303EA535">
      <w:pPr>
        <w:spacing w:line="560" w:lineRule="exact"/>
        <w:ind w:firstLine="640" w:firstLineChars="200"/>
        <w:outlineLvl w:val="0"/>
        <w:rPr>
          <w:rFonts w:hint="eastAsia" w:ascii="仿宋" w:hAnsi="仿宋" w:eastAsia="仿宋" w:cs="仿宋"/>
          <w:bCs/>
          <w:color w:val="000000"/>
          <w:sz w:val="32"/>
          <w:szCs w:val="32"/>
        </w:rPr>
      </w:pPr>
      <w:r>
        <w:rPr>
          <w:rFonts w:hint="eastAsia" w:ascii="仿宋" w:hAnsi="仿宋" w:eastAsia="仿宋" w:cs="仿宋"/>
          <w:bCs/>
          <w:color w:val="000000"/>
          <w:sz w:val="32"/>
          <w:szCs w:val="32"/>
        </w:rPr>
        <w:t>根据惠山区市场监督管理局要求，在规定时间内完成指导提升、督促整改、汇总分析和结果上报工作。</w:t>
      </w:r>
    </w:p>
    <w:p w14:paraId="6E54BC04">
      <w:pPr>
        <w:spacing w:line="560" w:lineRule="exact"/>
        <w:ind w:firstLine="640" w:firstLineChars="200"/>
        <w:jc w:val="left"/>
        <w:rPr>
          <w:rFonts w:hint="eastAsia" w:ascii="黑体" w:hAnsi="黑体" w:eastAsia="黑体" w:cs="黑体"/>
          <w:sz w:val="32"/>
          <w:szCs w:val="32"/>
        </w:rPr>
      </w:pPr>
      <w:r>
        <w:rPr>
          <w:rFonts w:hint="eastAsia" w:ascii="黑体" w:hAnsi="黑体" w:eastAsia="黑体" w:cs="黑体"/>
          <w:sz w:val="32"/>
          <w:szCs w:val="32"/>
        </w:rPr>
        <w:t>六、报送材料要求</w:t>
      </w:r>
    </w:p>
    <w:p w14:paraId="43BDD685">
      <w:pPr>
        <w:spacing w:line="560" w:lineRule="exact"/>
        <w:ind w:firstLine="640" w:firstLineChars="200"/>
        <w:outlineLvl w:val="0"/>
        <w:rPr>
          <w:rFonts w:hint="eastAsia" w:ascii="仿宋" w:hAnsi="仿宋" w:eastAsia="仿宋" w:cs="仿宋"/>
          <w:bCs/>
          <w:color w:val="000000"/>
          <w:sz w:val="32"/>
          <w:szCs w:val="32"/>
        </w:rPr>
      </w:pPr>
      <w:r>
        <w:rPr>
          <w:rFonts w:hint="eastAsia" w:ascii="仿宋" w:hAnsi="仿宋" w:eastAsia="仿宋" w:cs="仿宋"/>
          <w:bCs/>
          <w:color w:val="000000"/>
          <w:sz w:val="32"/>
          <w:szCs w:val="32"/>
        </w:rPr>
        <w:t>需同时上报纸质材料和电子版材料，具体要求如下：</w:t>
      </w:r>
    </w:p>
    <w:p w14:paraId="64DB89E6">
      <w:pPr>
        <w:spacing w:line="560" w:lineRule="exact"/>
        <w:ind w:firstLine="640" w:firstLineChars="200"/>
        <w:jc w:val="left"/>
        <w:rPr>
          <w:rFonts w:hint="eastAsia" w:ascii="楷体" w:hAnsi="楷体" w:eastAsia="楷体" w:cs="楷体"/>
          <w:sz w:val="32"/>
          <w:szCs w:val="32"/>
        </w:rPr>
      </w:pPr>
      <w:r>
        <w:rPr>
          <w:rFonts w:hint="eastAsia" w:ascii="楷体" w:hAnsi="楷体" w:eastAsia="楷体" w:cs="楷体"/>
          <w:sz w:val="32"/>
          <w:szCs w:val="32"/>
        </w:rPr>
        <w:t>（一）纸质材料</w:t>
      </w:r>
    </w:p>
    <w:p w14:paraId="554637BC">
      <w:pPr>
        <w:spacing w:line="56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bCs/>
          <w:color w:val="000000"/>
          <w:sz w:val="32"/>
          <w:szCs w:val="32"/>
        </w:rPr>
        <w:t>特种设备生产单位指导提升</w:t>
      </w:r>
      <w:r>
        <w:rPr>
          <w:rFonts w:hint="eastAsia" w:ascii="仿宋" w:hAnsi="仿宋" w:eastAsia="仿宋" w:cs="仿宋"/>
          <w:sz w:val="32"/>
          <w:szCs w:val="32"/>
        </w:rPr>
        <w:t>分析报告》（盖公章）</w:t>
      </w:r>
    </w:p>
    <w:p w14:paraId="01D518D1">
      <w:pPr>
        <w:spacing w:line="560" w:lineRule="exact"/>
        <w:ind w:firstLine="640" w:firstLineChars="200"/>
        <w:jc w:val="left"/>
        <w:rPr>
          <w:rFonts w:hint="eastAsia" w:ascii="仿宋" w:hAnsi="仿宋" w:eastAsia="仿宋" w:cs="仿宋"/>
          <w:b/>
          <w:bCs/>
          <w:sz w:val="32"/>
          <w:szCs w:val="32"/>
        </w:rPr>
      </w:pPr>
      <w:r>
        <w:rPr>
          <w:rFonts w:hint="eastAsia" w:ascii="仿宋" w:hAnsi="仿宋" w:eastAsia="仿宋" w:cs="仿宋"/>
          <w:sz w:val="32"/>
          <w:szCs w:val="32"/>
        </w:rPr>
        <w:t>2.《</w:t>
      </w:r>
      <w:r>
        <w:rPr>
          <w:rFonts w:hint="eastAsia" w:ascii="仿宋" w:hAnsi="仿宋" w:eastAsia="仿宋" w:cs="仿宋"/>
          <w:bCs/>
          <w:color w:val="000000"/>
          <w:sz w:val="32"/>
          <w:szCs w:val="32"/>
        </w:rPr>
        <w:t>特种设备生产单位指导提升</w:t>
      </w:r>
      <w:r>
        <w:rPr>
          <w:rFonts w:hint="eastAsia" w:ascii="仿宋" w:hAnsi="仿宋" w:eastAsia="仿宋" w:cs="仿宋"/>
          <w:sz w:val="32"/>
          <w:szCs w:val="32"/>
        </w:rPr>
        <w:t>情况汇总表》（盖公章）</w:t>
      </w:r>
    </w:p>
    <w:p w14:paraId="6725C485">
      <w:pPr>
        <w:spacing w:line="560" w:lineRule="exact"/>
        <w:ind w:firstLine="640" w:firstLineChars="200"/>
        <w:jc w:val="left"/>
        <w:rPr>
          <w:rFonts w:hint="eastAsia" w:ascii="楷体" w:hAnsi="楷体" w:eastAsia="楷体" w:cs="楷体"/>
          <w:sz w:val="32"/>
          <w:szCs w:val="32"/>
        </w:rPr>
      </w:pPr>
      <w:r>
        <w:rPr>
          <w:rFonts w:hint="eastAsia" w:ascii="楷体" w:hAnsi="楷体" w:eastAsia="楷体" w:cs="楷体"/>
          <w:sz w:val="32"/>
          <w:szCs w:val="32"/>
        </w:rPr>
        <w:t>（二）电子版材料</w:t>
      </w:r>
    </w:p>
    <w:p w14:paraId="2EF0FDCF">
      <w:pPr>
        <w:spacing w:line="56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bCs/>
          <w:color w:val="000000"/>
          <w:sz w:val="32"/>
          <w:szCs w:val="32"/>
        </w:rPr>
        <w:t>特种设备生产单位指导提升</w:t>
      </w:r>
      <w:r>
        <w:rPr>
          <w:rFonts w:hint="eastAsia" w:ascii="仿宋" w:hAnsi="仿宋" w:eastAsia="仿宋" w:cs="仿宋"/>
          <w:sz w:val="32"/>
          <w:szCs w:val="32"/>
        </w:rPr>
        <w:t>分析报告》（WORD格式）</w:t>
      </w:r>
    </w:p>
    <w:p w14:paraId="6E45B05C">
      <w:pPr>
        <w:spacing w:line="560" w:lineRule="exact"/>
        <w:ind w:firstLine="640" w:firstLineChars="200"/>
        <w:jc w:val="left"/>
        <w:rPr>
          <w:rFonts w:hint="eastAsia" w:ascii="仿宋" w:hAnsi="仿宋" w:eastAsia="仿宋" w:cs="仿宋"/>
          <w:bCs/>
          <w:color w:val="000000"/>
          <w:sz w:val="32"/>
          <w:szCs w:val="32"/>
        </w:rPr>
      </w:pPr>
      <w:r>
        <w:rPr>
          <w:rFonts w:hint="eastAsia" w:ascii="仿宋" w:hAnsi="仿宋" w:eastAsia="仿宋" w:cs="仿宋"/>
          <w:sz w:val="32"/>
          <w:szCs w:val="32"/>
        </w:rPr>
        <w:t>2.《</w:t>
      </w:r>
      <w:r>
        <w:rPr>
          <w:rFonts w:hint="eastAsia" w:ascii="仿宋" w:hAnsi="仿宋" w:eastAsia="仿宋" w:cs="仿宋"/>
          <w:bCs/>
          <w:color w:val="000000"/>
          <w:sz w:val="32"/>
          <w:szCs w:val="32"/>
        </w:rPr>
        <w:t>特种设备生产单位指导提升</w:t>
      </w:r>
      <w:r>
        <w:rPr>
          <w:rFonts w:hint="eastAsia" w:ascii="仿宋" w:hAnsi="仿宋" w:eastAsia="仿宋" w:cs="仿宋"/>
          <w:sz w:val="32"/>
          <w:szCs w:val="32"/>
        </w:rPr>
        <w:t>情况汇总表》（EXCEL格式）</w:t>
      </w:r>
    </w:p>
    <w:sectPr>
      <w:pgSz w:w="11906" w:h="16838"/>
      <w:pgMar w:top="1928" w:right="1474" w:bottom="1814"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35D41CE-ABC8-4545-98B3-F2A56950206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embedRegular r:id="rId2" w:fontKey="{24C05FD0-43B2-4453-9556-F507ACC449E8}"/>
  </w:font>
  <w:font w:name="仿宋">
    <w:panose1 w:val="02010609060101010101"/>
    <w:charset w:val="86"/>
    <w:family w:val="auto"/>
    <w:pitch w:val="default"/>
    <w:sig w:usb0="800002BF" w:usb1="38CF7CFA" w:usb2="00000016" w:usb3="00000000" w:csb0="00040001" w:csb1="00000000"/>
    <w:embedRegular r:id="rId3" w:fontKey="{0A7BE7EA-FE5E-4A08-875E-3C3CEEE1D335}"/>
  </w:font>
  <w:font w:name="Cambria">
    <w:panose1 w:val="02040503050406030204"/>
    <w:charset w:val="00"/>
    <w:family w:val="roman"/>
    <w:pitch w:val="default"/>
    <w:sig w:usb0="E00002FF" w:usb1="400004FF" w:usb2="00000000" w:usb3="00000000" w:csb0="2000019F" w:csb1="00000000"/>
  </w:font>
  <w:font w:name="方正仿宋简体">
    <w:altName w:val="微软雅黑"/>
    <w:panose1 w:val="00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80F3C52" w:usb2="00000016" w:usb3="00000000" w:csb0="0004001F" w:csb1="00000000"/>
  </w:font>
  <w:font w:name="创艺简仿宋">
    <w:altName w:val="黑体"/>
    <w:panose1 w:val="00000000000000000000"/>
    <w:charset w:val="86"/>
    <w:family w:val="auto"/>
    <w:pitch w:val="default"/>
    <w:sig w:usb0="00000000" w:usb1="00000000" w:usb2="00000010" w:usb3="00000000" w:csb0="00040000" w:csb1="00000000"/>
  </w:font>
  <w:font w:name="Arial">
    <w:panose1 w:val="020B0604020202020204"/>
    <w:charset w:val="00"/>
    <w:family w:val="swiss"/>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E3203">
    <w:pPr>
      <w:pStyle w:val="10"/>
      <w:jc w:val="center"/>
    </w:pPr>
    <w:r>
      <mc:AlternateContent>
        <mc:Choice Requires="wps">
          <w:drawing>
            <wp:anchor distT="0" distB="0" distL="114300" distR="114300" simplePos="0" relativeHeight="251659264" behindDoc="0" locked="0" layoutInCell="1" allowOverlap="1">
              <wp:simplePos x="0" y="0"/>
              <wp:positionH relativeFrom="margin">
                <wp:posOffset>2557780</wp:posOffset>
              </wp:positionH>
              <wp:positionV relativeFrom="paragraph">
                <wp:posOffset>-136525</wp:posOffset>
              </wp:positionV>
              <wp:extent cx="470535" cy="445135"/>
              <wp:effectExtent l="0" t="0" r="0" b="0"/>
              <wp:wrapNone/>
              <wp:docPr id="1" name="文本框 1"/>
              <wp:cNvGraphicFramePr/>
              <a:graphic xmlns:a="http://schemas.openxmlformats.org/drawingml/2006/main">
                <a:graphicData uri="http://schemas.microsoft.com/office/word/2010/wordprocessingShape">
                  <wps:wsp>
                    <wps:cNvSpPr txBox="1"/>
                    <wps:spPr>
                      <a:xfrm>
                        <a:off x="0" y="0"/>
                        <a:ext cx="470535" cy="4451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hint="eastAsia" w:ascii="宋体" w:hAnsi="宋体" w:eastAsia="宋体" w:cs="宋体"/>
                              <w:sz w:val="28"/>
                              <w:szCs w:val="28"/>
                            </w:rPr>
                            <w:id w:val="1822315684"/>
                          </w:sdtPr>
                          <w:sdtEndPr>
                            <w:rPr>
                              <w:rFonts w:hint="eastAsia" w:ascii="宋体" w:hAnsi="宋体" w:eastAsia="宋体" w:cs="宋体"/>
                              <w:sz w:val="28"/>
                              <w:szCs w:val="28"/>
                            </w:rPr>
                          </w:sdtEndPr>
                          <w:sdtContent>
                            <w:p w14:paraId="1004E0B0">
                              <w:pPr>
                                <w:pStyle w:val="10"/>
                                <w:jc w:val="cente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ascii="宋体" w:hAnsi="宋体" w:eastAsia="宋体" w:cs="宋体"/>
                                  <w:sz w:val="28"/>
                                  <w:szCs w:val="28"/>
                                  <w:lang w:val="zh-CN"/>
                                </w:rPr>
                                <w:t>-</w:t>
                              </w:r>
                              <w:r>
                                <w:rPr>
                                  <w:rFonts w:ascii="宋体" w:hAnsi="宋体" w:eastAsia="宋体" w:cs="宋体"/>
                                  <w:sz w:val="28"/>
                                  <w:szCs w:val="28"/>
                                </w:rPr>
                                <w:t xml:space="preserve"> 6 -</w:t>
                              </w:r>
                              <w:r>
                                <w:rPr>
                                  <w:rFonts w:hint="eastAsia" w:ascii="宋体" w:hAnsi="宋体" w:eastAsia="宋体" w:cs="宋体"/>
                                  <w:sz w:val="28"/>
                                  <w:szCs w:val="28"/>
                                </w:rPr>
                                <w:fldChar w:fldCharType="end"/>
                              </w:r>
                            </w:p>
                          </w:sdtContent>
                        </w:sdt>
                        <w:p w14:paraId="262C8C11">
                          <w:pPr>
                            <w:pStyle w:val="20"/>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01.4pt;margin-top:-10.75pt;height:35.05pt;width:37.05pt;mso-position-horizontal-relative:margin;z-index:251659264;mso-width-relative:page;mso-height-relative:page;" filled="f" stroked="f" coordsize="21600,21600" o:gfxdata="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BN4Z8HZAAAACgEAAA8AAAAAAAAAAQAgAAAAIgAAAGRycy9kb3ducmV2Lnht&#10;bFBLAQIUABQAAAAIAIdO4kCzB7xeMQIAAFUEAAAOAAAAAAAAAAEAIAAAACgBAABkcnMvZTJvRG9j&#10;LnhtbFBLBQYAAAAABgAGAFkBAADLBQAAAAA=&#10;">
              <v:fill on="f" focussize="0,0"/>
              <v:stroke on="f" weight="0.5pt"/>
              <v:imagedata o:title=""/>
              <o:lock v:ext="edit" aspectratio="f"/>
              <v:textbox inset="0mm,0mm,0mm,0mm">
                <w:txbxContent>
                  <w:sdt>
                    <w:sdtPr>
                      <w:rPr>
                        <w:rFonts w:hint="eastAsia" w:ascii="宋体" w:hAnsi="宋体" w:eastAsia="宋体" w:cs="宋体"/>
                        <w:sz w:val="28"/>
                        <w:szCs w:val="28"/>
                      </w:rPr>
                      <w:id w:val="1822315684"/>
                    </w:sdtPr>
                    <w:sdtEndPr>
                      <w:rPr>
                        <w:rFonts w:hint="eastAsia" w:ascii="宋体" w:hAnsi="宋体" w:eastAsia="宋体" w:cs="宋体"/>
                        <w:sz w:val="28"/>
                        <w:szCs w:val="28"/>
                      </w:rPr>
                    </w:sdtEndPr>
                    <w:sdtContent>
                      <w:p w14:paraId="1004E0B0">
                        <w:pPr>
                          <w:pStyle w:val="10"/>
                          <w:jc w:val="cente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ascii="宋体" w:hAnsi="宋体" w:eastAsia="宋体" w:cs="宋体"/>
                            <w:sz w:val="28"/>
                            <w:szCs w:val="28"/>
                            <w:lang w:val="zh-CN"/>
                          </w:rPr>
                          <w:t>-</w:t>
                        </w:r>
                        <w:r>
                          <w:rPr>
                            <w:rFonts w:ascii="宋体" w:hAnsi="宋体" w:eastAsia="宋体" w:cs="宋体"/>
                            <w:sz w:val="28"/>
                            <w:szCs w:val="28"/>
                          </w:rPr>
                          <w:t xml:space="preserve"> 6 -</w:t>
                        </w:r>
                        <w:r>
                          <w:rPr>
                            <w:rFonts w:hint="eastAsia" w:ascii="宋体" w:hAnsi="宋体" w:eastAsia="宋体" w:cs="宋体"/>
                            <w:sz w:val="28"/>
                            <w:szCs w:val="28"/>
                          </w:rPr>
                          <w:fldChar w:fldCharType="end"/>
                        </w:r>
                      </w:p>
                    </w:sdtContent>
                  </w:sdt>
                  <w:p w14:paraId="262C8C11">
                    <w:pPr>
                      <w:pStyle w:val="20"/>
                    </w:pPr>
                  </w:p>
                </w:txbxContent>
              </v:textbox>
            </v:shape>
          </w:pict>
        </mc:Fallback>
      </mc:AlternateContent>
    </w:r>
  </w:p>
  <w:p w14:paraId="7DE17307">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73B21D"/>
    <w:multiLevelType w:val="singleLevel"/>
    <w:tmpl w:val="BC73B21D"/>
    <w:lvl w:ilvl="0" w:tentative="0">
      <w:start w:val="1"/>
      <w:numFmt w:val="bullet"/>
      <w:pStyle w:val="6"/>
      <w:lvlText w:val=""/>
      <w:lvlJc w:val="left"/>
      <w:pPr>
        <w:tabs>
          <w:tab w:val="left" w:pos="360"/>
        </w:tabs>
        <w:ind w:left="360" w:hanging="360"/>
      </w:pPr>
      <w:rPr>
        <w:rFonts w:hint="default" w:ascii="Wingdings" w:hAnsi="Wingdings"/>
      </w:rPr>
    </w:lvl>
  </w:abstractNum>
  <w:abstractNum w:abstractNumId="1">
    <w:nsid w:val="00000006"/>
    <w:multiLevelType w:val="multilevel"/>
    <w:tmpl w:val="00000006"/>
    <w:lvl w:ilvl="0" w:tentative="0">
      <w:start w:val="1"/>
      <w:numFmt w:val="chineseCountingThousand"/>
      <w:suff w:val="nothing"/>
      <w:lvlText w:val="第%1章"/>
      <w:lvlJc w:val="left"/>
    </w:lvl>
    <w:lvl w:ilvl="1" w:tentative="0">
      <w:start w:val="1"/>
      <w:numFmt w:val="none"/>
      <w:suff w:val="nothing"/>
      <w:lvlText w:val=""/>
      <w:lvlJc w:val="left"/>
    </w:lvl>
    <w:lvl w:ilvl="2" w:tentative="0">
      <w:start w:val="1"/>
      <w:numFmt w:val="none"/>
      <w:suff w:val="nothing"/>
      <w:lvlText w:val=""/>
      <w:lvlJc w:val="left"/>
    </w:lvl>
    <w:lvl w:ilvl="3" w:tentative="0">
      <w:start w:val="1"/>
      <w:numFmt w:val="none"/>
      <w:pStyle w:val="5"/>
      <w:suff w:val="nothing"/>
      <w:lvlText w:val=""/>
      <w:lvlJc w:val="left"/>
    </w:lvl>
    <w:lvl w:ilvl="4" w:tentative="0">
      <w:start w:val="1"/>
      <w:numFmt w:val="none"/>
      <w:suff w:val="nothing"/>
      <w:lvlText w:val=""/>
      <w:lvlJc w:val="left"/>
    </w:lvl>
    <w:lvl w:ilvl="5" w:tentative="0">
      <w:start w:val="1"/>
      <w:numFmt w:val="none"/>
      <w:suff w:val="nothing"/>
      <w:lvlText w:val=""/>
      <w:lvlJc w:val="left"/>
    </w:lvl>
    <w:lvl w:ilvl="6" w:tentative="0">
      <w:start w:val="1"/>
      <w:numFmt w:val="none"/>
      <w:suff w:val="nothing"/>
      <w:lvlText w:val=""/>
      <w:lvlJc w:val="left"/>
    </w:lvl>
    <w:lvl w:ilvl="7" w:tentative="0">
      <w:start w:val="1"/>
      <w:numFmt w:val="none"/>
      <w:suff w:val="nothing"/>
      <w:lvlText w:val=""/>
      <w:lvlJc w:val="left"/>
    </w:lvl>
    <w:lvl w:ilvl="8" w:tentative="0">
      <w:start w:val="1"/>
      <w:numFmt w:val="none"/>
      <w:suff w:val="nothing"/>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2MTlkY2M4ZWJlMTdmMWRkYjAxNTgxNTJmZGI1MTYifQ=="/>
    <w:docVar w:name="KSO_WPS_MARK_KEY" w:val="b4635bbb-9ee8-4fca-80aa-6703fa11a531"/>
  </w:docVars>
  <w:rsids>
    <w:rsidRoot w:val="001741FA"/>
    <w:rsid w:val="0000480D"/>
    <w:rsid w:val="00007F54"/>
    <w:rsid w:val="000417D3"/>
    <w:rsid w:val="00062D30"/>
    <w:rsid w:val="00070F9C"/>
    <w:rsid w:val="0008536A"/>
    <w:rsid w:val="000A27AB"/>
    <w:rsid w:val="000B1EDF"/>
    <w:rsid w:val="000B5F0B"/>
    <w:rsid w:val="000C1E23"/>
    <w:rsid w:val="000F3D84"/>
    <w:rsid w:val="000F562E"/>
    <w:rsid w:val="000F72BC"/>
    <w:rsid w:val="00115BFC"/>
    <w:rsid w:val="001271DD"/>
    <w:rsid w:val="0016710F"/>
    <w:rsid w:val="001677F1"/>
    <w:rsid w:val="00171B03"/>
    <w:rsid w:val="001741FA"/>
    <w:rsid w:val="00175328"/>
    <w:rsid w:val="00176E99"/>
    <w:rsid w:val="001C3EC2"/>
    <w:rsid w:val="001D1B73"/>
    <w:rsid w:val="001D2742"/>
    <w:rsid w:val="002139DB"/>
    <w:rsid w:val="0022242C"/>
    <w:rsid w:val="002619AA"/>
    <w:rsid w:val="00265A00"/>
    <w:rsid w:val="0027489D"/>
    <w:rsid w:val="002E6EAF"/>
    <w:rsid w:val="002F6BA7"/>
    <w:rsid w:val="002F7D8D"/>
    <w:rsid w:val="00300BA3"/>
    <w:rsid w:val="00351B05"/>
    <w:rsid w:val="003611CD"/>
    <w:rsid w:val="00371CBE"/>
    <w:rsid w:val="00391903"/>
    <w:rsid w:val="003A44FD"/>
    <w:rsid w:val="003C1A9E"/>
    <w:rsid w:val="003C6864"/>
    <w:rsid w:val="003D4626"/>
    <w:rsid w:val="003E0F15"/>
    <w:rsid w:val="00404226"/>
    <w:rsid w:val="00420211"/>
    <w:rsid w:val="0042127D"/>
    <w:rsid w:val="004234CA"/>
    <w:rsid w:val="00433C46"/>
    <w:rsid w:val="00452B7A"/>
    <w:rsid w:val="00470AF5"/>
    <w:rsid w:val="00476BC9"/>
    <w:rsid w:val="004B17E1"/>
    <w:rsid w:val="004B78D3"/>
    <w:rsid w:val="004E7A41"/>
    <w:rsid w:val="0052159E"/>
    <w:rsid w:val="00540AB3"/>
    <w:rsid w:val="00551B7E"/>
    <w:rsid w:val="00555E04"/>
    <w:rsid w:val="00560219"/>
    <w:rsid w:val="00571E0E"/>
    <w:rsid w:val="005813A6"/>
    <w:rsid w:val="005A65B7"/>
    <w:rsid w:val="005B100C"/>
    <w:rsid w:val="005C003C"/>
    <w:rsid w:val="00611A8B"/>
    <w:rsid w:val="00635A33"/>
    <w:rsid w:val="006362AF"/>
    <w:rsid w:val="0064532F"/>
    <w:rsid w:val="0067670C"/>
    <w:rsid w:val="00684B9B"/>
    <w:rsid w:val="006C0164"/>
    <w:rsid w:val="006E0FC1"/>
    <w:rsid w:val="006F7CF1"/>
    <w:rsid w:val="00724688"/>
    <w:rsid w:val="007263BC"/>
    <w:rsid w:val="007B69BF"/>
    <w:rsid w:val="007C2470"/>
    <w:rsid w:val="007E30B8"/>
    <w:rsid w:val="008321BD"/>
    <w:rsid w:val="00845811"/>
    <w:rsid w:val="0085758C"/>
    <w:rsid w:val="00865256"/>
    <w:rsid w:val="0086734B"/>
    <w:rsid w:val="00882963"/>
    <w:rsid w:val="008849CE"/>
    <w:rsid w:val="0089366D"/>
    <w:rsid w:val="008A2A39"/>
    <w:rsid w:val="008A46DD"/>
    <w:rsid w:val="008A6D07"/>
    <w:rsid w:val="008D6147"/>
    <w:rsid w:val="008E063C"/>
    <w:rsid w:val="00901848"/>
    <w:rsid w:val="009039E4"/>
    <w:rsid w:val="00911EF2"/>
    <w:rsid w:val="00927915"/>
    <w:rsid w:val="009672FF"/>
    <w:rsid w:val="009775BF"/>
    <w:rsid w:val="00997691"/>
    <w:rsid w:val="009A0D1A"/>
    <w:rsid w:val="009A264F"/>
    <w:rsid w:val="009A68D9"/>
    <w:rsid w:val="009B590F"/>
    <w:rsid w:val="009C337D"/>
    <w:rsid w:val="009F00D7"/>
    <w:rsid w:val="009F1692"/>
    <w:rsid w:val="00A10CDC"/>
    <w:rsid w:val="00A313FB"/>
    <w:rsid w:val="00A4785C"/>
    <w:rsid w:val="00A50319"/>
    <w:rsid w:val="00A60A2D"/>
    <w:rsid w:val="00A61762"/>
    <w:rsid w:val="00A71A93"/>
    <w:rsid w:val="00A71E4F"/>
    <w:rsid w:val="00A73270"/>
    <w:rsid w:val="00A83089"/>
    <w:rsid w:val="00A869B9"/>
    <w:rsid w:val="00A94AAA"/>
    <w:rsid w:val="00AA3B20"/>
    <w:rsid w:val="00AC2888"/>
    <w:rsid w:val="00AD567B"/>
    <w:rsid w:val="00AE38BB"/>
    <w:rsid w:val="00AF30FC"/>
    <w:rsid w:val="00AF4D4B"/>
    <w:rsid w:val="00B2764E"/>
    <w:rsid w:val="00B44780"/>
    <w:rsid w:val="00B60762"/>
    <w:rsid w:val="00B663FE"/>
    <w:rsid w:val="00B76C22"/>
    <w:rsid w:val="00B76F09"/>
    <w:rsid w:val="00B84021"/>
    <w:rsid w:val="00B90D60"/>
    <w:rsid w:val="00BA171D"/>
    <w:rsid w:val="00BB1579"/>
    <w:rsid w:val="00BB4561"/>
    <w:rsid w:val="00BB720F"/>
    <w:rsid w:val="00BC0E8D"/>
    <w:rsid w:val="00BE74AC"/>
    <w:rsid w:val="00C41EEC"/>
    <w:rsid w:val="00C858C8"/>
    <w:rsid w:val="00C86B82"/>
    <w:rsid w:val="00C9531E"/>
    <w:rsid w:val="00CC7EC2"/>
    <w:rsid w:val="00CD2120"/>
    <w:rsid w:val="00CD4F29"/>
    <w:rsid w:val="00CD7863"/>
    <w:rsid w:val="00CE50E6"/>
    <w:rsid w:val="00CE5AFB"/>
    <w:rsid w:val="00CF7439"/>
    <w:rsid w:val="00D15633"/>
    <w:rsid w:val="00D544C7"/>
    <w:rsid w:val="00D63F4A"/>
    <w:rsid w:val="00DA2DC7"/>
    <w:rsid w:val="00DD4470"/>
    <w:rsid w:val="00E42E77"/>
    <w:rsid w:val="00E438A5"/>
    <w:rsid w:val="00E543CD"/>
    <w:rsid w:val="00E81B78"/>
    <w:rsid w:val="00EB3740"/>
    <w:rsid w:val="00EB4942"/>
    <w:rsid w:val="00EB56DD"/>
    <w:rsid w:val="00EC008E"/>
    <w:rsid w:val="00EC036E"/>
    <w:rsid w:val="00EC18CE"/>
    <w:rsid w:val="00EE1928"/>
    <w:rsid w:val="00EF76A2"/>
    <w:rsid w:val="00FA1FE1"/>
    <w:rsid w:val="00FB1C77"/>
    <w:rsid w:val="00FC5742"/>
    <w:rsid w:val="00FE7ED9"/>
    <w:rsid w:val="01AA3877"/>
    <w:rsid w:val="01B44181"/>
    <w:rsid w:val="01F3598B"/>
    <w:rsid w:val="033E0386"/>
    <w:rsid w:val="05B2322E"/>
    <w:rsid w:val="06372663"/>
    <w:rsid w:val="06E17BCC"/>
    <w:rsid w:val="076F3599"/>
    <w:rsid w:val="0A947B78"/>
    <w:rsid w:val="0F1E5075"/>
    <w:rsid w:val="0F52015A"/>
    <w:rsid w:val="0FD0094D"/>
    <w:rsid w:val="102B498B"/>
    <w:rsid w:val="117D46C8"/>
    <w:rsid w:val="12E56E05"/>
    <w:rsid w:val="13F7212F"/>
    <w:rsid w:val="14737438"/>
    <w:rsid w:val="14B44CE1"/>
    <w:rsid w:val="151C4634"/>
    <w:rsid w:val="1568787A"/>
    <w:rsid w:val="17654071"/>
    <w:rsid w:val="18166B8C"/>
    <w:rsid w:val="18A75F18"/>
    <w:rsid w:val="19EE7904"/>
    <w:rsid w:val="1A2E2E40"/>
    <w:rsid w:val="1B082705"/>
    <w:rsid w:val="1CA078F9"/>
    <w:rsid w:val="1CA13BD4"/>
    <w:rsid w:val="1DD051DC"/>
    <w:rsid w:val="1E2260B9"/>
    <w:rsid w:val="1E870568"/>
    <w:rsid w:val="20232D1B"/>
    <w:rsid w:val="2357396E"/>
    <w:rsid w:val="23FA6CB4"/>
    <w:rsid w:val="25E9358C"/>
    <w:rsid w:val="26FE1DEC"/>
    <w:rsid w:val="2882526D"/>
    <w:rsid w:val="2A964BFD"/>
    <w:rsid w:val="2D1063D5"/>
    <w:rsid w:val="2D2D1AAA"/>
    <w:rsid w:val="2E911F29"/>
    <w:rsid w:val="2ECB03BF"/>
    <w:rsid w:val="31E01B69"/>
    <w:rsid w:val="31EE28F9"/>
    <w:rsid w:val="31EE3091"/>
    <w:rsid w:val="32BE1EFB"/>
    <w:rsid w:val="33446DD8"/>
    <w:rsid w:val="33EA64F5"/>
    <w:rsid w:val="344737B2"/>
    <w:rsid w:val="344A6FB9"/>
    <w:rsid w:val="34D0301A"/>
    <w:rsid w:val="3586200C"/>
    <w:rsid w:val="37EB3721"/>
    <w:rsid w:val="383448FE"/>
    <w:rsid w:val="39396CB4"/>
    <w:rsid w:val="395A1043"/>
    <w:rsid w:val="3A850191"/>
    <w:rsid w:val="3AF31E21"/>
    <w:rsid w:val="3B041BA4"/>
    <w:rsid w:val="3B9B62E2"/>
    <w:rsid w:val="3C075A22"/>
    <w:rsid w:val="3C571EBB"/>
    <w:rsid w:val="3D580050"/>
    <w:rsid w:val="3D9D4F4E"/>
    <w:rsid w:val="3E8213A7"/>
    <w:rsid w:val="404D2D25"/>
    <w:rsid w:val="410A5C53"/>
    <w:rsid w:val="42437045"/>
    <w:rsid w:val="45AB2CE7"/>
    <w:rsid w:val="462A3F75"/>
    <w:rsid w:val="46D349D3"/>
    <w:rsid w:val="46E22739"/>
    <w:rsid w:val="47F91639"/>
    <w:rsid w:val="48743864"/>
    <w:rsid w:val="4AEC34F8"/>
    <w:rsid w:val="51CB2747"/>
    <w:rsid w:val="52FD5123"/>
    <w:rsid w:val="53410230"/>
    <w:rsid w:val="53FE5827"/>
    <w:rsid w:val="554F2C33"/>
    <w:rsid w:val="567120DD"/>
    <w:rsid w:val="56C27009"/>
    <w:rsid w:val="58335594"/>
    <w:rsid w:val="586506CB"/>
    <w:rsid w:val="5C486BBB"/>
    <w:rsid w:val="5D290C69"/>
    <w:rsid w:val="5DD414CC"/>
    <w:rsid w:val="5EFA28BD"/>
    <w:rsid w:val="64314C44"/>
    <w:rsid w:val="65E51375"/>
    <w:rsid w:val="6670073B"/>
    <w:rsid w:val="6861368C"/>
    <w:rsid w:val="68C41A84"/>
    <w:rsid w:val="69C2222A"/>
    <w:rsid w:val="69C32171"/>
    <w:rsid w:val="6B463CE3"/>
    <w:rsid w:val="6B9C4A8E"/>
    <w:rsid w:val="6B9F7FF6"/>
    <w:rsid w:val="6E344C48"/>
    <w:rsid w:val="6E775230"/>
    <w:rsid w:val="70D8788A"/>
    <w:rsid w:val="717C5102"/>
    <w:rsid w:val="75360445"/>
    <w:rsid w:val="75BB2726"/>
    <w:rsid w:val="75BE5F9B"/>
    <w:rsid w:val="78CB2E8E"/>
    <w:rsid w:val="7C10447C"/>
    <w:rsid w:val="7CEE663A"/>
    <w:rsid w:val="7D660F2A"/>
    <w:rsid w:val="7F6C5D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qFormat="1" w:unhideWhenUsed="0" w:uiPriority="0" w:semiHidden="0"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link w:val="2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numPr>
        <w:ilvl w:val="3"/>
        <w:numId w:val="1"/>
      </w:numPr>
      <w:spacing w:before="280" w:after="290" w:line="376" w:lineRule="auto"/>
      <w:outlineLvl w:val="3"/>
    </w:pPr>
    <w:rPr>
      <w:rFonts w:ascii="宋体"/>
      <w:b/>
      <w:sz w:val="28"/>
      <w:szCs w:val="28"/>
    </w:rPr>
  </w:style>
  <w:style w:type="character" w:default="1" w:styleId="17">
    <w:name w:val="Default Paragraph Font"/>
    <w:semiHidden/>
    <w:unhideWhenUsed/>
    <w:qFormat/>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6">
    <w:name w:val="List Bullet"/>
    <w:basedOn w:val="1"/>
    <w:semiHidden/>
    <w:unhideWhenUsed/>
    <w:qFormat/>
    <w:uiPriority w:val="99"/>
    <w:pPr>
      <w:numPr>
        <w:ilvl w:val="0"/>
        <w:numId w:val="2"/>
      </w:numPr>
    </w:pPr>
  </w:style>
  <w:style w:type="paragraph" w:styleId="7">
    <w:name w:val="Body Text"/>
    <w:basedOn w:val="1"/>
    <w:semiHidden/>
    <w:unhideWhenUsed/>
    <w:qFormat/>
    <w:uiPriority w:val="99"/>
    <w:pPr>
      <w:spacing w:after="120"/>
    </w:pPr>
  </w:style>
  <w:style w:type="paragraph" w:styleId="8">
    <w:name w:val="Body Text Indent"/>
    <w:basedOn w:val="1"/>
    <w:qFormat/>
    <w:uiPriority w:val="0"/>
    <w:pPr>
      <w:spacing w:line="520" w:lineRule="exact"/>
      <w:ind w:left="570"/>
    </w:pPr>
    <w:rPr>
      <w:rFonts w:ascii="方正仿宋简体" w:hAnsi="创艺简仿宋" w:eastAsia="方正仿宋简体"/>
      <w:sz w:val="24"/>
    </w:rPr>
  </w:style>
  <w:style w:type="paragraph" w:styleId="9">
    <w:name w:val="Balloon Text"/>
    <w:basedOn w:val="1"/>
    <w:link w:val="25"/>
    <w:semiHidden/>
    <w:unhideWhenUsed/>
    <w:qFormat/>
    <w:uiPriority w:val="99"/>
    <w:rPr>
      <w:sz w:val="18"/>
      <w:szCs w:val="18"/>
    </w:rPr>
  </w:style>
  <w:style w:type="paragraph" w:styleId="10">
    <w:name w:val="footer"/>
    <w:basedOn w:val="1"/>
    <w:link w:val="24"/>
    <w:unhideWhenUsed/>
    <w:qFormat/>
    <w:uiPriority w:val="99"/>
    <w:pPr>
      <w:tabs>
        <w:tab w:val="center" w:pos="4153"/>
        <w:tab w:val="right" w:pos="8306"/>
      </w:tabs>
      <w:snapToGrid w:val="0"/>
      <w:jc w:val="left"/>
    </w:pPr>
    <w:rPr>
      <w:sz w:val="18"/>
      <w:szCs w:val="18"/>
    </w:rPr>
  </w:style>
  <w:style w:type="paragraph" w:styleId="11">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semiHidden/>
    <w:unhideWhenUsed/>
    <w:qFormat/>
    <w:uiPriority w:val="99"/>
    <w:rPr>
      <w:rFonts w:ascii="Times New Roman" w:hAnsi="Times New Roman" w:cs="Times New Roman"/>
      <w:sz w:val="24"/>
      <w:szCs w:val="24"/>
    </w:rPr>
  </w:style>
  <w:style w:type="paragraph" w:styleId="13">
    <w:name w:val="Title"/>
    <w:basedOn w:val="1"/>
    <w:qFormat/>
    <w:uiPriority w:val="0"/>
    <w:pPr>
      <w:jc w:val="center"/>
      <w:outlineLvl w:val="0"/>
    </w:pPr>
    <w:rPr>
      <w:rFonts w:ascii="Arial" w:hAnsi="Arial"/>
      <w:b/>
      <w:sz w:val="32"/>
    </w:rPr>
  </w:style>
  <w:style w:type="paragraph" w:styleId="14">
    <w:name w:val="Body Text First Indent 2"/>
    <w:basedOn w:val="8"/>
    <w:qFormat/>
    <w:uiPriority w:val="0"/>
    <w:pPr>
      <w:spacing w:line="360" w:lineRule="auto"/>
      <w:ind w:firstLine="420" w:firstLineChars="200"/>
    </w:pPr>
    <w:rPr>
      <w:rFonts w:ascii="宋体" w:hAnsi="宋体" w:eastAsia="宋体"/>
      <w:sz w:val="21"/>
      <w:szCs w:val="20"/>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b/>
    </w:rPr>
  </w:style>
  <w:style w:type="character" w:styleId="19">
    <w:name w:val="HTML Typewriter"/>
    <w:basedOn w:val="17"/>
    <w:qFormat/>
    <w:uiPriority w:val="0"/>
    <w:rPr>
      <w:rFonts w:ascii="宋体" w:hAnsi="宋体" w:eastAsia="宋体" w:cs="宋体"/>
      <w:sz w:val="24"/>
      <w:szCs w:val="24"/>
    </w:rPr>
  </w:style>
  <w:style w:type="paragraph" w:styleId="20">
    <w:name w:val="List Paragraph"/>
    <w:basedOn w:val="1"/>
    <w:link w:val="27"/>
    <w:qFormat/>
    <w:uiPriority w:val="34"/>
    <w:pPr>
      <w:ind w:firstLine="420" w:firstLineChars="200"/>
    </w:pPr>
  </w:style>
  <w:style w:type="character" w:customStyle="1" w:styleId="21">
    <w:name w:val="apple-converted-space"/>
    <w:basedOn w:val="17"/>
    <w:qFormat/>
    <w:uiPriority w:val="0"/>
  </w:style>
  <w:style w:type="paragraph" w:customStyle="1" w:styleId="22">
    <w:name w:val="普通文字"/>
    <w:basedOn w:val="1"/>
    <w:next w:val="1"/>
    <w:qFormat/>
    <w:uiPriority w:val="0"/>
    <w:rPr>
      <w:rFonts w:ascii="宋体" w:hAnsi="Times New Roman" w:eastAsia="宋体" w:cs="Times New Roman"/>
      <w:kern w:val="0"/>
      <w:sz w:val="24"/>
      <w:szCs w:val="20"/>
      <w:u w:color="000000"/>
    </w:rPr>
  </w:style>
  <w:style w:type="character" w:customStyle="1" w:styleId="23">
    <w:name w:val="页眉 字符"/>
    <w:basedOn w:val="17"/>
    <w:link w:val="11"/>
    <w:qFormat/>
    <w:uiPriority w:val="99"/>
    <w:rPr>
      <w:sz w:val="18"/>
      <w:szCs w:val="18"/>
    </w:rPr>
  </w:style>
  <w:style w:type="character" w:customStyle="1" w:styleId="24">
    <w:name w:val="页脚 字符"/>
    <w:basedOn w:val="17"/>
    <w:link w:val="10"/>
    <w:qFormat/>
    <w:uiPriority w:val="99"/>
    <w:rPr>
      <w:sz w:val="18"/>
      <w:szCs w:val="18"/>
    </w:rPr>
  </w:style>
  <w:style w:type="character" w:customStyle="1" w:styleId="25">
    <w:name w:val="批注框文本 字符"/>
    <w:basedOn w:val="17"/>
    <w:link w:val="9"/>
    <w:semiHidden/>
    <w:qFormat/>
    <w:uiPriority w:val="99"/>
    <w:rPr>
      <w:sz w:val="18"/>
      <w:szCs w:val="18"/>
    </w:rPr>
  </w:style>
  <w:style w:type="paragraph" w:customStyle="1" w:styleId="26">
    <w:name w:val="标题2（新） Char"/>
    <w:basedOn w:val="3"/>
    <w:qFormat/>
    <w:uiPriority w:val="0"/>
    <w:pPr>
      <w:spacing w:before="0" w:after="0" w:line="440" w:lineRule="exact"/>
      <w:ind w:left="576" w:hanging="576"/>
    </w:pPr>
    <w:rPr>
      <w:rFonts w:ascii="宋体" w:hAnsi="Times New Roman" w:eastAsia="宋体" w:cs="宋体"/>
      <w:snapToGrid w:val="0"/>
      <w:sz w:val="28"/>
      <w:szCs w:val="28"/>
    </w:rPr>
  </w:style>
  <w:style w:type="character" w:customStyle="1" w:styleId="27">
    <w:name w:val="列表段落 字符"/>
    <w:link w:val="20"/>
    <w:qFormat/>
    <w:locked/>
    <w:uiPriority w:val="34"/>
  </w:style>
  <w:style w:type="character" w:customStyle="1" w:styleId="28">
    <w:name w:val="标题 2 字符"/>
    <w:basedOn w:val="17"/>
    <w:link w:val="3"/>
    <w:semiHidden/>
    <w:qFormat/>
    <w:uiPriority w:val="9"/>
    <w:rPr>
      <w:rFonts w:asciiTheme="majorHAnsi" w:hAnsiTheme="majorHAnsi" w:eastAsiaTheme="majorEastAsia" w:cstheme="majorBidi"/>
      <w:b/>
      <w:bCs/>
      <w:sz w:val="32"/>
      <w:szCs w:val="32"/>
    </w:rPr>
  </w:style>
  <w:style w:type="character" w:customStyle="1" w:styleId="29">
    <w:name w:val="标题 3 字符"/>
    <w:basedOn w:val="17"/>
    <w:link w:val="4"/>
    <w:semiHidden/>
    <w:qFormat/>
    <w:uiPriority w:val="9"/>
    <w:rPr>
      <w:b/>
      <w:bCs/>
      <w:sz w:val="32"/>
      <w:szCs w:val="32"/>
    </w:rPr>
  </w:style>
  <w:style w:type="paragraph" w:customStyle="1" w:styleId="30">
    <w:name w:val="正文 + (西文) Times New Roman"/>
    <w:basedOn w:val="12"/>
    <w:qFormat/>
    <w:uiPriority w:val="99"/>
    <w:pPr>
      <w:widowControl/>
      <w:spacing w:line="360" w:lineRule="auto"/>
      <w:ind w:firstLine="560" w:firstLineChars="200"/>
      <w:jc w:val="left"/>
    </w:pPr>
    <w:rPr>
      <w:rFonts w:ascii="仿宋_GB2312" w:hAnsi="宋体" w:eastAsia="仿宋_GB2312" w:cs="仿宋_GB2312"/>
      <w:color w:val="000000"/>
      <w:sz w:val="28"/>
      <w:szCs w:val="28"/>
    </w:rPr>
  </w:style>
  <w:style w:type="paragraph" w:styleId="31">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32">
    <w:name w:val="NormalCharacter"/>
    <w:semiHidden/>
    <w:qFormat/>
    <w:uiPriority w:val="0"/>
  </w:style>
  <w:style w:type="paragraph" w:customStyle="1" w:styleId="33">
    <w:name w:val="Body Text First Indent1"/>
    <w:basedOn w:val="7"/>
    <w:qFormat/>
    <w:uiPriority w:val="0"/>
    <w:pPr>
      <w:widowControl/>
      <w:spacing w:before="100" w:beforeAutospacing="1" w:after="100" w:afterAutospacing="1"/>
      <w:ind w:firstLine="420" w:firstLineChars="100"/>
      <w:jc w:val="left"/>
    </w:pPr>
    <w:rPr>
      <w:rFonts w:ascii="仿宋_GB2312"/>
      <w:kern w:val="0"/>
    </w:rPr>
  </w:style>
  <w:style w:type="paragraph" w:customStyle="1" w:styleId="34">
    <w:name w:val="段"/>
    <w:basedOn w:val="1"/>
    <w:autoRedefine/>
    <w:qFormat/>
    <w:uiPriority w:val="0"/>
    <w:pPr>
      <w:widowControl/>
      <w:ind w:firstLine="420" w:firstLineChars="200"/>
    </w:pPr>
  </w:style>
  <w:style w:type="paragraph" w:customStyle="1" w:styleId="35">
    <w:name w:val="Table Paragraph"/>
    <w:basedOn w:val="1"/>
    <w:qFormat/>
    <w:uiPriority w:val="1"/>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522</Words>
  <Characters>615</Characters>
  <Lines>81</Lines>
  <Paragraphs>22</Paragraphs>
  <TotalTime>1314</TotalTime>
  <ScaleCrop>false</ScaleCrop>
  <LinksUpToDate>false</LinksUpToDate>
  <CharactersWithSpaces>631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2023-02-23T06:32:00Z</dcterms:created>
  <dc:creator>Windows 用户</dc:creator>
  <cp:lastModifiedBy>项</cp:lastModifiedBy>
  <cp:lastPrinted>2018-07-10T02:15:00Z</cp:lastPrinted>
  <dcterms:modified xsi:type="dcterms:W3CDTF">2026-08-13T07:11:36Z</dcterms:modified>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AB29E673EF954ED8B5E249EA42F08EF7</vt:lpwstr>
  </property>
  <property fmtid="{D5CDD505-2E9C-101B-9397-08002B2CF9AE}" pid="4" name="commondata">
    <vt:lpwstr>eyJoZGlkIjoiZGUwM2UyZTBiNTg3YmIxYjE0Y2UzODkxMjg4MmQwNjkifQ==</vt:lpwstr>
  </property>
  <property fmtid="{D5CDD505-2E9C-101B-9397-08002B2CF9AE}" pid="5" name="KSOTemplateDocerSaveRecord">
    <vt:lpwstr>eyJoZGlkIjoiY2M2MTlkY2M4ZWJlMTdmMWRkYjAxNTgxNTJmZGI1MTYiLCJ1c2VySWQiOiI0MjgyMjMyMjEifQ==</vt:lpwstr>
  </property>
</Properties>
</file>