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9"/>
          <w:tab w:val="left" w:pos="993"/>
          <w:tab w:val="left" w:pos="1418"/>
        </w:tabs>
        <w:spacing w:line="360" w:lineRule="auto"/>
        <w:jc w:val="center"/>
        <w:rPr>
          <w:rFonts w:hint="eastAsia" w:ascii="方正小标宋简体" w:hAnsi="宋体" w:eastAsia="方正小标宋简体"/>
          <w:kern w:val="0"/>
          <w:sz w:val="44"/>
          <w:szCs w:val="44"/>
        </w:rPr>
      </w:pPr>
      <w:r>
        <w:rPr>
          <w:rFonts w:hint="eastAsia" w:ascii="方正小标宋简体" w:hAnsi="宋体" w:eastAsia="方正小标宋简体"/>
          <w:kern w:val="0"/>
          <w:sz w:val="44"/>
          <w:szCs w:val="44"/>
        </w:rPr>
        <w:t>惠山区卫生健康委员会健康信息平台等保安全建设项目运维项目采购需求</w:t>
      </w:r>
    </w:p>
    <w:p>
      <w:pPr>
        <w:tabs>
          <w:tab w:val="left" w:pos="709"/>
          <w:tab w:val="left" w:pos="993"/>
          <w:tab w:val="left" w:pos="1418"/>
        </w:tabs>
        <w:spacing w:line="360" w:lineRule="auto"/>
        <w:jc w:val="center"/>
        <w:rPr>
          <w:rFonts w:ascii="方正小标宋简体" w:hAnsi="宋体" w:eastAsia="方正小标宋简体"/>
          <w:kern w:val="0"/>
          <w:sz w:val="44"/>
          <w:szCs w:val="44"/>
        </w:rPr>
      </w:pPr>
      <w:r>
        <w:rPr>
          <w:rFonts w:hint="eastAsia" w:ascii="方正小标宋简体" w:hAnsi="宋体" w:eastAsia="方正小标宋简体"/>
          <w:kern w:val="0"/>
          <w:sz w:val="44"/>
          <w:szCs w:val="44"/>
        </w:rPr>
        <w:t xml:space="preserve"> </w:t>
      </w:r>
    </w:p>
    <w:p>
      <w:pPr>
        <w:tabs>
          <w:tab w:val="left" w:pos="709"/>
          <w:tab w:val="left" w:pos="993"/>
          <w:tab w:val="left" w:pos="1418"/>
        </w:tabs>
        <w:spacing w:line="360" w:lineRule="auto"/>
        <w:rPr>
          <w:rFonts w:ascii="宋体" w:hAnsi="宋体"/>
          <w:b/>
          <w:kern w:val="0"/>
          <w:sz w:val="24"/>
          <w:szCs w:val="28"/>
        </w:rPr>
      </w:pPr>
      <w:r>
        <w:rPr>
          <w:rFonts w:hint="eastAsia" w:ascii="宋体" w:hAnsi="宋体"/>
          <w:kern w:val="0"/>
          <w:sz w:val="24"/>
          <w:szCs w:val="28"/>
        </w:rPr>
        <w:t>一、采购信息：</w:t>
      </w:r>
      <w:r>
        <w:rPr>
          <w:rFonts w:hint="eastAsia" w:ascii="宋体" w:hAnsi="宋体"/>
          <w:b/>
          <w:bCs/>
          <w:kern w:val="0"/>
          <w:sz w:val="24"/>
          <w:szCs w:val="28"/>
        </w:rPr>
        <w:t>惠山区卫生健康委员会健康信息平台等保安全建设项目运维</w:t>
      </w:r>
    </w:p>
    <w:p>
      <w:pPr>
        <w:tabs>
          <w:tab w:val="left" w:pos="709"/>
          <w:tab w:val="left" w:pos="993"/>
          <w:tab w:val="left" w:pos="1418"/>
        </w:tabs>
        <w:spacing w:line="360" w:lineRule="auto"/>
        <w:rPr>
          <w:rFonts w:ascii="宋体" w:hAnsi="宋体"/>
          <w:kern w:val="0"/>
          <w:sz w:val="24"/>
          <w:szCs w:val="28"/>
        </w:rPr>
      </w:pPr>
      <w:r>
        <w:rPr>
          <w:rFonts w:hint="eastAsia" w:ascii="宋体" w:hAnsi="宋体"/>
          <w:kern w:val="0"/>
          <w:sz w:val="24"/>
          <w:szCs w:val="28"/>
        </w:rPr>
        <w:t>二、采购预算：</w:t>
      </w:r>
      <w:r>
        <w:rPr>
          <w:rFonts w:hint="eastAsia" w:ascii="宋体" w:hAnsi="宋体"/>
          <w:b/>
          <w:kern w:val="0"/>
          <w:sz w:val="24"/>
          <w:szCs w:val="28"/>
        </w:rPr>
        <w:t>7.</w:t>
      </w:r>
      <w:r>
        <w:rPr>
          <w:rFonts w:hint="eastAsia" w:ascii="宋体" w:hAnsi="宋体"/>
          <w:b/>
          <w:kern w:val="0"/>
          <w:sz w:val="24"/>
          <w:szCs w:val="28"/>
          <w:lang w:val="en-US" w:eastAsia="zh-CN"/>
        </w:rPr>
        <w:t>3</w:t>
      </w:r>
      <w:r>
        <w:rPr>
          <w:rFonts w:hint="eastAsia" w:ascii="宋体" w:hAnsi="宋体"/>
          <w:b/>
          <w:kern w:val="0"/>
          <w:sz w:val="24"/>
          <w:szCs w:val="28"/>
        </w:rPr>
        <w:t>万元</w:t>
      </w:r>
    </w:p>
    <w:p>
      <w:pPr>
        <w:spacing w:line="560" w:lineRule="exact"/>
        <w:ind w:right="91"/>
        <w:rPr>
          <w:rFonts w:ascii="宋体" w:hAnsi="宋体"/>
          <w:kern w:val="0"/>
          <w:sz w:val="24"/>
          <w:szCs w:val="28"/>
        </w:rPr>
      </w:pPr>
      <w:r>
        <w:rPr>
          <w:rFonts w:hint="eastAsia" w:ascii="宋体" w:hAnsi="宋体"/>
          <w:kern w:val="0"/>
          <w:sz w:val="24"/>
          <w:szCs w:val="28"/>
        </w:rPr>
        <w:t>三、</w:t>
      </w:r>
      <w:r>
        <w:rPr>
          <w:rFonts w:ascii="宋体" w:hAnsi="宋体"/>
          <w:kern w:val="0"/>
          <w:sz w:val="24"/>
          <w:szCs w:val="28"/>
        </w:rPr>
        <w:t>根据采购项目的特殊要求规定的特定</w:t>
      </w:r>
      <w:r>
        <w:rPr>
          <w:rFonts w:hint="eastAsia" w:ascii="宋体" w:hAnsi="宋体"/>
          <w:kern w:val="0"/>
          <w:sz w:val="24"/>
          <w:szCs w:val="28"/>
        </w:rPr>
        <w:t>投标（报价）人</w:t>
      </w:r>
      <w:r>
        <w:rPr>
          <w:rFonts w:ascii="宋体" w:hAnsi="宋体"/>
          <w:kern w:val="0"/>
          <w:sz w:val="24"/>
          <w:szCs w:val="28"/>
        </w:rPr>
        <w:t>条件</w:t>
      </w:r>
      <w:r>
        <w:rPr>
          <w:rFonts w:hint="eastAsia" w:ascii="宋体" w:hAnsi="宋体"/>
          <w:kern w:val="0"/>
          <w:sz w:val="24"/>
          <w:szCs w:val="28"/>
        </w:rPr>
        <w:t>：</w:t>
      </w:r>
    </w:p>
    <w:p>
      <w:pPr>
        <w:numPr>
          <w:ilvl w:val="0"/>
          <w:numId w:val="2"/>
        </w:numPr>
        <w:spacing w:line="560" w:lineRule="exact"/>
        <w:ind w:right="91"/>
        <w:rPr>
          <w:rFonts w:ascii="宋体" w:hAnsi="宋体"/>
          <w:b/>
          <w:sz w:val="24"/>
        </w:rPr>
      </w:pPr>
      <w:r>
        <w:rPr>
          <w:rFonts w:hint="eastAsia" w:ascii="宋体" w:hAnsi="宋体"/>
          <w:b/>
          <w:sz w:val="24"/>
        </w:rPr>
        <w:t>本项目面向中小企业</w:t>
      </w:r>
    </w:p>
    <w:p>
      <w:pPr>
        <w:numPr>
          <w:ilvl w:val="0"/>
          <w:numId w:val="2"/>
        </w:numPr>
        <w:spacing w:line="560" w:lineRule="exact"/>
        <w:ind w:right="91"/>
      </w:pPr>
      <w:r>
        <w:rPr>
          <w:rFonts w:hint="eastAsia" w:ascii="宋体" w:hAnsi="宋体"/>
          <w:b/>
          <w:sz w:val="24"/>
        </w:rPr>
        <w:t>本项目不接受联合体投标</w:t>
      </w:r>
    </w:p>
    <w:p>
      <w:pPr>
        <w:tabs>
          <w:tab w:val="left" w:pos="709"/>
          <w:tab w:val="left" w:pos="993"/>
          <w:tab w:val="left" w:pos="1418"/>
        </w:tabs>
        <w:spacing w:line="360" w:lineRule="auto"/>
        <w:rPr>
          <w:rFonts w:ascii="宋体" w:hAnsi="宋体"/>
          <w:kern w:val="0"/>
          <w:sz w:val="24"/>
          <w:szCs w:val="28"/>
        </w:rPr>
      </w:pPr>
      <w:r>
        <w:rPr>
          <w:rFonts w:hint="eastAsia" w:ascii="宋体" w:hAnsi="宋体"/>
          <w:kern w:val="0"/>
          <w:sz w:val="24"/>
          <w:szCs w:val="28"/>
        </w:rPr>
        <w:t>四、技术及服务内容要求：</w:t>
      </w:r>
    </w:p>
    <w:p>
      <w:pPr>
        <w:pStyle w:val="21"/>
        <w:spacing w:line="360" w:lineRule="auto"/>
        <w:ind w:firstLine="645" w:firstLineChars="0"/>
        <w:jc w:val="left"/>
        <w:rPr>
          <w:rFonts w:ascii="宋体" w:hAnsi="宋体"/>
          <w:sz w:val="24"/>
          <w:szCs w:val="24"/>
        </w:rPr>
      </w:pPr>
      <w:r>
        <w:rPr>
          <w:rFonts w:hint="eastAsia" w:ascii="宋体" w:hAnsi="宋体"/>
          <w:sz w:val="24"/>
          <w:szCs w:val="24"/>
        </w:rPr>
        <w:t>本项目为惠山区卫生健康委员会健康信息平台等保安全建设项目运维，项目具体要求如下，投标人须提供满足以下要求的服务，不得有负偏离：</w:t>
      </w:r>
    </w:p>
    <w:p>
      <w:pPr>
        <w:spacing w:line="560" w:lineRule="exact"/>
        <w:ind w:left="420" w:right="91"/>
        <w:rPr>
          <w:rFonts w:ascii="宋体" w:hAnsi="宋体"/>
          <w:b/>
          <w:bCs/>
          <w:sz w:val="24"/>
        </w:rPr>
      </w:pPr>
      <w:r>
        <w:rPr>
          <w:rFonts w:hint="eastAsia" w:ascii="宋体" w:hAnsi="宋体"/>
          <w:b/>
          <w:bCs/>
          <w:sz w:val="24"/>
        </w:rPr>
        <w:t>一.项目概述：</w:t>
      </w:r>
    </w:p>
    <w:p>
      <w:pPr>
        <w:tabs>
          <w:tab w:val="left" w:pos="312"/>
        </w:tabs>
        <w:spacing w:line="480" w:lineRule="exact"/>
        <w:ind w:firstLine="480" w:firstLineChars="200"/>
        <w:rPr>
          <w:rFonts w:ascii="宋体" w:hAnsi="宋体"/>
          <w:sz w:val="24"/>
        </w:rPr>
      </w:pPr>
      <w:r>
        <w:rPr>
          <w:rFonts w:hint="eastAsia" w:ascii="宋体" w:hAnsi="宋体"/>
          <w:sz w:val="24"/>
        </w:rPr>
        <w:t>惠山区全民健康信息平台（以下简称“区平台”）</w:t>
      </w:r>
      <w:r>
        <w:rPr>
          <w:rFonts w:hint="eastAsia" w:ascii="宋体" w:hAnsi="宋体"/>
          <w:sz w:val="24"/>
          <w:lang w:eastAsia="zh-CN"/>
        </w:rPr>
        <w:t>是</w:t>
      </w:r>
      <w:r>
        <w:rPr>
          <w:rFonts w:hint="eastAsia" w:ascii="宋体" w:hAnsi="宋体"/>
          <w:sz w:val="24"/>
        </w:rPr>
        <w:t>三级等保</w:t>
      </w:r>
      <w:r>
        <w:rPr>
          <w:rFonts w:hint="eastAsia" w:ascii="宋体" w:hAnsi="宋体"/>
          <w:sz w:val="24"/>
          <w:lang w:eastAsia="zh-CN"/>
        </w:rPr>
        <w:t>备案系统</w:t>
      </w:r>
      <w:r>
        <w:rPr>
          <w:rFonts w:hint="eastAsia" w:ascii="宋体" w:hAnsi="宋体"/>
          <w:sz w:val="24"/>
        </w:rPr>
        <w:t>。</w:t>
      </w:r>
      <w:bookmarkStart w:id="69" w:name="_GoBack"/>
      <w:bookmarkEnd w:id="69"/>
      <w:r>
        <w:rPr>
          <w:rFonts w:hint="eastAsia" w:ascii="宋体" w:hAnsi="宋体"/>
          <w:sz w:val="24"/>
        </w:rPr>
        <w:t>本次项目为平台的服务器、网络、安全设备（含特征库升级服务）提供一年的日常维护及技术支持，保证健康信息平台可靠、高效、持续、安全运行。</w:t>
      </w:r>
    </w:p>
    <w:p>
      <w:pPr>
        <w:spacing w:line="560" w:lineRule="exact"/>
        <w:ind w:left="420" w:right="91"/>
        <w:rPr>
          <w:rFonts w:ascii="宋体" w:hAnsi="宋体"/>
          <w:b/>
          <w:bCs/>
          <w:sz w:val="24"/>
        </w:rPr>
      </w:pPr>
      <w:r>
        <w:rPr>
          <w:rFonts w:hint="eastAsia" w:ascii="宋体" w:hAnsi="宋体"/>
          <w:b/>
          <w:bCs/>
          <w:sz w:val="24"/>
        </w:rPr>
        <w:t>二.项目技术要求：</w:t>
      </w:r>
    </w:p>
    <w:p>
      <w:pPr>
        <w:tabs>
          <w:tab w:val="left" w:pos="312"/>
        </w:tabs>
        <w:spacing w:line="480" w:lineRule="exact"/>
        <w:ind w:firstLine="482" w:firstLineChars="200"/>
        <w:rPr>
          <w:rFonts w:ascii="宋体" w:hAnsi="宋体"/>
          <w:b/>
          <w:sz w:val="24"/>
        </w:rPr>
      </w:pPr>
      <w:r>
        <w:rPr>
          <w:rFonts w:hint="eastAsia" w:ascii="宋体" w:hAnsi="宋体"/>
          <w:b/>
          <w:sz w:val="24"/>
        </w:rPr>
        <w:t>（一）本项目包含的软硬件设备</w:t>
      </w:r>
    </w:p>
    <w:p>
      <w:pPr>
        <w:tabs>
          <w:tab w:val="left" w:pos="312"/>
        </w:tabs>
        <w:spacing w:line="480" w:lineRule="exact"/>
        <w:ind w:firstLine="422" w:firstLineChars="200"/>
        <w:jc w:val="center"/>
        <w:rPr>
          <w:rFonts w:ascii="宋体" w:hAnsi="宋体"/>
          <w:b/>
          <w:bCs/>
          <w:sz w:val="24"/>
        </w:rPr>
      </w:pPr>
      <w:r>
        <w:rPr>
          <w:b/>
          <w:bCs/>
        </w:rPr>
        <w:t>表</w:t>
      </w:r>
      <w:r>
        <w:rPr>
          <w:rFonts w:hint="eastAsia"/>
          <w:b/>
          <w:bCs/>
        </w:rPr>
        <w:t>1 运维软硬件清单</w:t>
      </w:r>
    </w:p>
    <w:tbl>
      <w:tblPr>
        <w:tblStyle w:val="1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2019"/>
        <w:gridCol w:w="1282"/>
        <w:gridCol w:w="852"/>
        <w:gridCol w:w="815"/>
        <w:gridCol w:w="1845"/>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335" w:type="pct"/>
            <w:vAlign w:val="center"/>
          </w:tcPr>
          <w:p>
            <w:pPr>
              <w:jc w:val="center"/>
            </w:pPr>
            <w:r>
              <w:rPr>
                <w:rFonts w:hint="eastAsia"/>
              </w:rPr>
              <w:t>序号</w:t>
            </w:r>
          </w:p>
        </w:tc>
        <w:tc>
          <w:tcPr>
            <w:tcW w:w="1087" w:type="pct"/>
            <w:noWrap/>
            <w:vAlign w:val="center"/>
          </w:tcPr>
          <w:p>
            <w:pPr>
              <w:jc w:val="center"/>
            </w:pPr>
            <w:r>
              <w:rPr>
                <w:rFonts w:hint="eastAsia"/>
              </w:rPr>
              <w:t>名称</w:t>
            </w:r>
          </w:p>
        </w:tc>
        <w:tc>
          <w:tcPr>
            <w:tcW w:w="691" w:type="pct"/>
            <w:vAlign w:val="center"/>
          </w:tcPr>
          <w:p>
            <w:pPr>
              <w:jc w:val="center"/>
            </w:pPr>
            <w:r>
              <w:rPr>
                <w:rFonts w:hint="eastAsia"/>
              </w:rPr>
              <w:t>品牌</w:t>
            </w:r>
          </w:p>
        </w:tc>
        <w:tc>
          <w:tcPr>
            <w:tcW w:w="459" w:type="pct"/>
            <w:vAlign w:val="center"/>
          </w:tcPr>
          <w:p>
            <w:pPr>
              <w:jc w:val="center"/>
            </w:pPr>
            <w:r>
              <w:rPr>
                <w:rFonts w:hint="eastAsia"/>
              </w:rPr>
              <w:t>数量</w:t>
            </w:r>
          </w:p>
        </w:tc>
        <w:tc>
          <w:tcPr>
            <w:tcW w:w="439" w:type="pct"/>
            <w:noWrap/>
            <w:vAlign w:val="center"/>
          </w:tcPr>
          <w:p>
            <w:pPr>
              <w:jc w:val="center"/>
            </w:pPr>
            <w:r>
              <w:rPr>
                <w:rFonts w:hint="eastAsia"/>
              </w:rPr>
              <w:t>单位</w:t>
            </w:r>
          </w:p>
        </w:tc>
        <w:tc>
          <w:tcPr>
            <w:tcW w:w="993" w:type="pct"/>
            <w:noWrap/>
            <w:vAlign w:val="center"/>
          </w:tcPr>
          <w:p>
            <w:pPr>
              <w:jc w:val="center"/>
            </w:pPr>
            <w:r>
              <w:rPr>
                <w:rFonts w:hint="eastAsia"/>
              </w:rPr>
              <w:t>验收时间</w:t>
            </w:r>
          </w:p>
        </w:tc>
        <w:tc>
          <w:tcPr>
            <w:tcW w:w="993" w:type="pct"/>
            <w:vAlign w:val="center"/>
          </w:tcPr>
          <w:p>
            <w:pPr>
              <w:jc w:val="center"/>
            </w:pPr>
            <w:r>
              <w:rPr>
                <w:rFonts w:hint="eastAsia"/>
              </w:rPr>
              <w:t>过保时间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35" w:type="pct"/>
            <w:vAlign w:val="center"/>
          </w:tcPr>
          <w:p>
            <w:pPr>
              <w:jc w:val="center"/>
            </w:pPr>
            <w:r>
              <w:rPr>
                <w:rFonts w:hint="eastAsia"/>
              </w:rPr>
              <w:t>1</w:t>
            </w:r>
          </w:p>
        </w:tc>
        <w:tc>
          <w:tcPr>
            <w:tcW w:w="1087" w:type="pct"/>
            <w:noWrap/>
            <w:vAlign w:val="center"/>
          </w:tcPr>
          <w:p>
            <w:pPr>
              <w:jc w:val="center"/>
            </w:pPr>
            <w:r>
              <w:rPr>
                <w:rFonts w:hint="eastAsia"/>
              </w:rPr>
              <w:t>虚拟化服务器</w:t>
            </w:r>
          </w:p>
        </w:tc>
        <w:tc>
          <w:tcPr>
            <w:tcW w:w="691" w:type="pct"/>
            <w:vAlign w:val="center"/>
          </w:tcPr>
          <w:p>
            <w:pPr>
              <w:jc w:val="center"/>
            </w:pPr>
            <w:r>
              <w:rPr>
                <w:rFonts w:hint="eastAsia"/>
              </w:rPr>
              <w:t>H3C</w:t>
            </w:r>
          </w:p>
        </w:tc>
        <w:tc>
          <w:tcPr>
            <w:tcW w:w="459" w:type="pct"/>
            <w:vAlign w:val="center"/>
          </w:tcPr>
          <w:p>
            <w:pPr>
              <w:jc w:val="center"/>
            </w:pPr>
            <w:r>
              <w:rPr>
                <w:rFonts w:hint="eastAsia"/>
              </w:rPr>
              <w:t>3</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2</w:t>
            </w:r>
          </w:p>
        </w:tc>
        <w:tc>
          <w:tcPr>
            <w:tcW w:w="1087" w:type="pct"/>
            <w:noWrap/>
            <w:vAlign w:val="center"/>
          </w:tcPr>
          <w:p>
            <w:pPr>
              <w:jc w:val="center"/>
            </w:pPr>
            <w:r>
              <w:rPr>
                <w:rFonts w:hint="eastAsia"/>
              </w:rPr>
              <w:t>数据库服务器</w:t>
            </w:r>
          </w:p>
        </w:tc>
        <w:tc>
          <w:tcPr>
            <w:tcW w:w="691" w:type="pct"/>
            <w:vAlign w:val="center"/>
          </w:tcPr>
          <w:p>
            <w:pPr>
              <w:jc w:val="center"/>
            </w:pPr>
            <w:r>
              <w:rPr>
                <w:rFonts w:hint="eastAsia"/>
              </w:rPr>
              <w:t>H3C</w:t>
            </w:r>
          </w:p>
        </w:tc>
        <w:tc>
          <w:tcPr>
            <w:tcW w:w="459" w:type="pct"/>
            <w:vAlign w:val="center"/>
          </w:tcPr>
          <w:p>
            <w:pPr>
              <w:jc w:val="center"/>
            </w:pPr>
            <w:r>
              <w:rPr>
                <w:rFonts w:hint="eastAsia"/>
              </w:rPr>
              <w:t>2</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3</w:t>
            </w:r>
          </w:p>
        </w:tc>
        <w:tc>
          <w:tcPr>
            <w:tcW w:w="1087" w:type="pct"/>
            <w:noWrap/>
            <w:vAlign w:val="center"/>
          </w:tcPr>
          <w:p>
            <w:pPr>
              <w:jc w:val="center"/>
            </w:pPr>
            <w:r>
              <w:rPr>
                <w:rFonts w:hint="eastAsia"/>
              </w:rPr>
              <w:t>数据存储</w:t>
            </w:r>
          </w:p>
        </w:tc>
        <w:tc>
          <w:tcPr>
            <w:tcW w:w="691" w:type="pct"/>
            <w:vAlign w:val="center"/>
          </w:tcPr>
          <w:p>
            <w:pPr>
              <w:jc w:val="center"/>
            </w:pPr>
            <w:r>
              <w:rPr>
                <w:rFonts w:hint="eastAsia"/>
              </w:rPr>
              <w:t>华为</w:t>
            </w:r>
          </w:p>
        </w:tc>
        <w:tc>
          <w:tcPr>
            <w:tcW w:w="459" w:type="pct"/>
            <w:vAlign w:val="center"/>
          </w:tcPr>
          <w:p>
            <w:pPr>
              <w:jc w:val="center"/>
            </w:pPr>
            <w:r>
              <w:rPr>
                <w:rFonts w:hint="eastAsia"/>
              </w:rPr>
              <w:t>1</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5" w:type="pct"/>
            <w:vAlign w:val="center"/>
          </w:tcPr>
          <w:p>
            <w:pPr>
              <w:jc w:val="center"/>
            </w:pPr>
            <w:r>
              <w:rPr>
                <w:rFonts w:hint="eastAsia"/>
              </w:rPr>
              <w:t>4</w:t>
            </w:r>
          </w:p>
        </w:tc>
        <w:tc>
          <w:tcPr>
            <w:tcW w:w="1087" w:type="pct"/>
            <w:noWrap/>
            <w:vAlign w:val="center"/>
          </w:tcPr>
          <w:p>
            <w:pPr>
              <w:jc w:val="center"/>
            </w:pPr>
            <w:r>
              <w:rPr>
                <w:rFonts w:hint="eastAsia"/>
              </w:rPr>
              <w:t>光纤交换机</w:t>
            </w:r>
          </w:p>
        </w:tc>
        <w:tc>
          <w:tcPr>
            <w:tcW w:w="691" w:type="pct"/>
            <w:vAlign w:val="center"/>
          </w:tcPr>
          <w:p>
            <w:pPr>
              <w:jc w:val="center"/>
            </w:pPr>
            <w:r>
              <w:rPr>
                <w:rFonts w:hint="eastAsia"/>
              </w:rPr>
              <w:t>博科</w:t>
            </w:r>
          </w:p>
        </w:tc>
        <w:tc>
          <w:tcPr>
            <w:tcW w:w="459" w:type="pct"/>
            <w:vAlign w:val="center"/>
          </w:tcPr>
          <w:p>
            <w:pPr>
              <w:jc w:val="center"/>
            </w:pPr>
            <w:r>
              <w:rPr>
                <w:rFonts w:hint="eastAsia"/>
              </w:rPr>
              <w:t>2</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5</w:t>
            </w:r>
          </w:p>
        </w:tc>
        <w:tc>
          <w:tcPr>
            <w:tcW w:w="1087" w:type="pct"/>
            <w:noWrap/>
            <w:vAlign w:val="center"/>
          </w:tcPr>
          <w:p>
            <w:pPr>
              <w:jc w:val="center"/>
            </w:pPr>
            <w:r>
              <w:rPr>
                <w:rFonts w:hint="eastAsia"/>
              </w:rPr>
              <w:t>备份一体机</w:t>
            </w:r>
          </w:p>
        </w:tc>
        <w:tc>
          <w:tcPr>
            <w:tcW w:w="691" w:type="pct"/>
            <w:vAlign w:val="center"/>
          </w:tcPr>
          <w:p>
            <w:pPr>
              <w:jc w:val="center"/>
            </w:pPr>
            <w:r>
              <w:rPr>
                <w:rFonts w:hint="eastAsia"/>
              </w:rPr>
              <w:t>容错</w:t>
            </w:r>
          </w:p>
        </w:tc>
        <w:tc>
          <w:tcPr>
            <w:tcW w:w="459" w:type="pct"/>
            <w:vAlign w:val="center"/>
          </w:tcPr>
          <w:p>
            <w:pPr>
              <w:jc w:val="center"/>
            </w:pPr>
            <w:r>
              <w:rPr>
                <w:rFonts w:hint="eastAsia"/>
              </w:rPr>
              <w:t>1</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6</w:t>
            </w:r>
          </w:p>
        </w:tc>
        <w:tc>
          <w:tcPr>
            <w:tcW w:w="1087" w:type="pct"/>
            <w:noWrap/>
            <w:vAlign w:val="center"/>
          </w:tcPr>
          <w:p>
            <w:pPr>
              <w:jc w:val="center"/>
            </w:pPr>
            <w:r>
              <w:rPr>
                <w:rFonts w:hint="eastAsia"/>
              </w:rPr>
              <w:t>接入交换机</w:t>
            </w:r>
          </w:p>
        </w:tc>
        <w:tc>
          <w:tcPr>
            <w:tcW w:w="691" w:type="pct"/>
            <w:vAlign w:val="center"/>
          </w:tcPr>
          <w:p>
            <w:pPr>
              <w:jc w:val="center"/>
            </w:pPr>
            <w:r>
              <w:rPr>
                <w:rFonts w:hint="eastAsia"/>
              </w:rPr>
              <w:t>华为</w:t>
            </w:r>
          </w:p>
        </w:tc>
        <w:tc>
          <w:tcPr>
            <w:tcW w:w="459" w:type="pct"/>
            <w:vAlign w:val="center"/>
          </w:tcPr>
          <w:p>
            <w:pPr>
              <w:jc w:val="center"/>
            </w:pPr>
            <w:r>
              <w:rPr>
                <w:rFonts w:hint="eastAsia"/>
              </w:rPr>
              <w:t>2</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7</w:t>
            </w:r>
          </w:p>
        </w:tc>
        <w:tc>
          <w:tcPr>
            <w:tcW w:w="1087" w:type="pct"/>
            <w:noWrap/>
            <w:vAlign w:val="center"/>
          </w:tcPr>
          <w:p>
            <w:pPr>
              <w:jc w:val="center"/>
            </w:pPr>
            <w:r>
              <w:rPr>
                <w:rFonts w:hint="eastAsia"/>
              </w:rPr>
              <w:t>核心交换机</w:t>
            </w:r>
          </w:p>
        </w:tc>
        <w:tc>
          <w:tcPr>
            <w:tcW w:w="691" w:type="pct"/>
            <w:vAlign w:val="center"/>
          </w:tcPr>
          <w:p>
            <w:pPr>
              <w:jc w:val="center"/>
            </w:pPr>
            <w:r>
              <w:rPr>
                <w:rFonts w:hint="eastAsia"/>
              </w:rPr>
              <w:t>华为</w:t>
            </w:r>
          </w:p>
        </w:tc>
        <w:tc>
          <w:tcPr>
            <w:tcW w:w="459" w:type="pct"/>
            <w:vAlign w:val="center"/>
          </w:tcPr>
          <w:p>
            <w:pPr>
              <w:jc w:val="center"/>
            </w:pPr>
            <w:r>
              <w:rPr>
                <w:rFonts w:hint="eastAsia"/>
              </w:rPr>
              <w:t>2</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8</w:t>
            </w:r>
          </w:p>
        </w:tc>
        <w:tc>
          <w:tcPr>
            <w:tcW w:w="1087" w:type="pct"/>
            <w:noWrap/>
            <w:vAlign w:val="center"/>
          </w:tcPr>
          <w:p>
            <w:pPr>
              <w:jc w:val="center"/>
            </w:pPr>
            <w:r>
              <w:rPr>
                <w:rFonts w:hint="eastAsia"/>
              </w:rPr>
              <w:t>VPN</w:t>
            </w:r>
          </w:p>
        </w:tc>
        <w:tc>
          <w:tcPr>
            <w:tcW w:w="691" w:type="pct"/>
            <w:vAlign w:val="center"/>
          </w:tcPr>
          <w:p>
            <w:pPr>
              <w:jc w:val="center"/>
            </w:pPr>
            <w:r>
              <w:rPr>
                <w:rFonts w:hint="eastAsia"/>
              </w:rPr>
              <w:t>天融信</w:t>
            </w:r>
          </w:p>
        </w:tc>
        <w:tc>
          <w:tcPr>
            <w:tcW w:w="459" w:type="pct"/>
            <w:vAlign w:val="center"/>
          </w:tcPr>
          <w:p>
            <w:pPr>
              <w:jc w:val="center"/>
            </w:pPr>
            <w:r>
              <w:rPr>
                <w:rFonts w:hint="eastAsia"/>
              </w:rPr>
              <w:t>1</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9</w:t>
            </w:r>
          </w:p>
        </w:tc>
        <w:tc>
          <w:tcPr>
            <w:tcW w:w="1087" w:type="pct"/>
            <w:noWrap/>
            <w:vAlign w:val="center"/>
          </w:tcPr>
          <w:p>
            <w:pPr>
              <w:jc w:val="center"/>
            </w:pPr>
            <w:r>
              <w:rPr>
                <w:rFonts w:hint="eastAsia"/>
              </w:rPr>
              <w:t>防火墙</w:t>
            </w:r>
          </w:p>
        </w:tc>
        <w:tc>
          <w:tcPr>
            <w:tcW w:w="691" w:type="pct"/>
            <w:vAlign w:val="center"/>
          </w:tcPr>
          <w:p>
            <w:pPr>
              <w:jc w:val="center"/>
            </w:pPr>
            <w:r>
              <w:rPr>
                <w:rFonts w:hint="eastAsia"/>
              </w:rPr>
              <w:t>天融信</w:t>
            </w:r>
          </w:p>
        </w:tc>
        <w:tc>
          <w:tcPr>
            <w:tcW w:w="459" w:type="pct"/>
            <w:vAlign w:val="center"/>
          </w:tcPr>
          <w:p>
            <w:pPr>
              <w:jc w:val="center"/>
            </w:pPr>
            <w:r>
              <w:rPr>
                <w:rFonts w:hint="eastAsia"/>
              </w:rPr>
              <w:t>2</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10</w:t>
            </w:r>
          </w:p>
        </w:tc>
        <w:tc>
          <w:tcPr>
            <w:tcW w:w="1087" w:type="pct"/>
            <w:noWrap/>
            <w:vAlign w:val="center"/>
          </w:tcPr>
          <w:p>
            <w:pPr>
              <w:jc w:val="center"/>
            </w:pPr>
            <w:r>
              <w:rPr>
                <w:rFonts w:hint="eastAsia"/>
              </w:rPr>
              <w:t>入侵防御</w:t>
            </w:r>
          </w:p>
        </w:tc>
        <w:tc>
          <w:tcPr>
            <w:tcW w:w="691" w:type="pct"/>
            <w:vAlign w:val="center"/>
          </w:tcPr>
          <w:p>
            <w:pPr>
              <w:jc w:val="center"/>
            </w:pPr>
            <w:r>
              <w:rPr>
                <w:rFonts w:hint="eastAsia"/>
              </w:rPr>
              <w:t>天融信</w:t>
            </w:r>
          </w:p>
        </w:tc>
        <w:tc>
          <w:tcPr>
            <w:tcW w:w="459" w:type="pct"/>
            <w:vAlign w:val="center"/>
          </w:tcPr>
          <w:p>
            <w:pPr>
              <w:jc w:val="center"/>
            </w:pPr>
            <w:r>
              <w:rPr>
                <w:rFonts w:hint="eastAsia"/>
              </w:rPr>
              <w:t>3</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11</w:t>
            </w:r>
          </w:p>
        </w:tc>
        <w:tc>
          <w:tcPr>
            <w:tcW w:w="1087" w:type="pct"/>
            <w:noWrap/>
            <w:vAlign w:val="center"/>
          </w:tcPr>
          <w:p>
            <w:pPr>
              <w:jc w:val="center"/>
            </w:pPr>
            <w:r>
              <w:rPr>
                <w:rFonts w:hint="eastAsia"/>
              </w:rPr>
              <w:t>WAF防火墙</w:t>
            </w:r>
          </w:p>
        </w:tc>
        <w:tc>
          <w:tcPr>
            <w:tcW w:w="691" w:type="pct"/>
            <w:vAlign w:val="center"/>
          </w:tcPr>
          <w:p>
            <w:pPr>
              <w:jc w:val="center"/>
            </w:pPr>
            <w:r>
              <w:rPr>
                <w:rFonts w:hint="eastAsia"/>
              </w:rPr>
              <w:t>天融信</w:t>
            </w:r>
          </w:p>
        </w:tc>
        <w:tc>
          <w:tcPr>
            <w:tcW w:w="459" w:type="pct"/>
            <w:vAlign w:val="center"/>
          </w:tcPr>
          <w:p>
            <w:pPr>
              <w:jc w:val="center"/>
            </w:pPr>
            <w:r>
              <w:rPr>
                <w:rFonts w:hint="eastAsia"/>
              </w:rPr>
              <w:t>3</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12</w:t>
            </w:r>
          </w:p>
        </w:tc>
        <w:tc>
          <w:tcPr>
            <w:tcW w:w="1087" w:type="pct"/>
            <w:noWrap/>
            <w:vAlign w:val="center"/>
          </w:tcPr>
          <w:p>
            <w:pPr>
              <w:jc w:val="center"/>
            </w:pPr>
            <w:r>
              <w:rPr>
                <w:rFonts w:hint="eastAsia"/>
              </w:rPr>
              <w:t>数据库审计</w:t>
            </w:r>
          </w:p>
        </w:tc>
        <w:tc>
          <w:tcPr>
            <w:tcW w:w="691" w:type="pct"/>
            <w:vAlign w:val="center"/>
          </w:tcPr>
          <w:p>
            <w:pPr>
              <w:jc w:val="center"/>
            </w:pPr>
            <w:r>
              <w:rPr>
                <w:rFonts w:hint="eastAsia"/>
              </w:rPr>
              <w:t>天融信</w:t>
            </w:r>
          </w:p>
        </w:tc>
        <w:tc>
          <w:tcPr>
            <w:tcW w:w="459" w:type="pct"/>
            <w:vAlign w:val="center"/>
          </w:tcPr>
          <w:p>
            <w:pPr>
              <w:jc w:val="center"/>
            </w:pPr>
            <w:r>
              <w:rPr>
                <w:rFonts w:hint="eastAsia"/>
              </w:rPr>
              <w:t>1</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13</w:t>
            </w:r>
          </w:p>
        </w:tc>
        <w:tc>
          <w:tcPr>
            <w:tcW w:w="1087" w:type="pct"/>
            <w:noWrap/>
            <w:vAlign w:val="center"/>
          </w:tcPr>
          <w:p>
            <w:pPr>
              <w:jc w:val="center"/>
            </w:pPr>
            <w:r>
              <w:rPr>
                <w:rFonts w:hint="eastAsia"/>
              </w:rPr>
              <w:t>日志审计</w:t>
            </w:r>
          </w:p>
        </w:tc>
        <w:tc>
          <w:tcPr>
            <w:tcW w:w="691" w:type="pct"/>
            <w:vAlign w:val="center"/>
          </w:tcPr>
          <w:p>
            <w:pPr>
              <w:jc w:val="center"/>
            </w:pPr>
            <w:r>
              <w:rPr>
                <w:rFonts w:hint="eastAsia"/>
              </w:rPr>
              <w:t>天融信</w:t>
            </w:r>
          </w:p>
        </w:tc>
        <w:tc>
          <w:tcPr>
            <w:tcW w:w="459" w:type="pct"/>
            <w:vAlign w:val="center"/>
          </w:tcPr>
          <w:p>
            <w:pPr>
              <w:jc w:val="center"/>
            </w:pPr>
            <w:r>
              <w:rPr>
                <w:rFonts w:hint="eastAsia"/>
              </w:rPr>
              <w:t>1</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14</w:t>
            </w:r>
          </w:p>
        </w:tc>
        <w:tc>
          <w:tcPr>
            <w:tcW w:w="1087" w:type="pct"/>
            <w:noWrap/>
            <w:vAlign w:val="center"/>
          </w:tcPr>
          <w:p>
            <w:pPr>
              <w:jc w:val="center"/>
            </w:pPr>
            <w:r>
              <w:rPr>
                <w:rFonts w:hint="eastAsia"/>
              </w:rPr>
              <w:t>堡垒机</w:t>
            </w:r>
          </w:p>
        </w:tc>
        <w:tc>
          <w:tcPr>
            <w:tcW w:w="691" w:type="pct"/>
            <w:vAlign w:val="center"/>
          </w:tcPr>
          <w:p>
            <w:pPr>
              <w:jc w:val="center"/>
            </w:pPr>
            <w:r>
              <w:rPr>
                <w:rFonts w:hint="eastAsia"/>
              </w:rPr>
              <w:t>天融信</w:t>
            </w:r>
          </w:p>
        </w:tc>
        <w:tc>
          <w:tcPr>
            <w:tcW w:w="459" w:type="pct"/>
            <w:vAlign w:val="center"/>
          </w:tcPr>
          <w:p>
            <w:pPr>
              <w:jc w:val="center"/>
            </w:pPr>
            <w:r>
              <w:rPr>
                <w:rFonts w:hint="eastAsia"/>
              </w:rPr>
              <w:t>1</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15</w:t>
            </w:r>
          </w:p>
        </w:tc>
        <w:tc>
          <w:tcPr>
            <w:tcW w:w="1087" w:type="pct"/>
            <w:noWrap/>
            <w:vAlign w:val="center"/>
          </w:tcPr>
          <w:p>
            <w:pPr>
              <w:jc w:val="center"/>
            </w:pPr>
            <w:r>
              <w:rPr>
                <w:rFonts w:hint="eastAsia"/>
              </w:rPr>
              <w:t>运维审计</w:t>
            </w:r>
          </w:p>
        </w:tc>
        <w:tc>
          <w:tcPr>
            <w:tcW w:w="691" w:type="pct"/>
            <w:vAlign w:val="center"/>
          </w:tcPr>
          <w:p>
            <w:pPr>
              <w:jc w:val="center"/>
            </w:pPr>
            <w:r>
              <w:rPr>
                <w:rFonts w:hint="eastAsia"/>
              </w:rPr>
              <w:t>网瑞达</w:t>
            </w:r>
          </w:p>
        </w:tc>
        <w:tc>
          <w:tcPr>
            <w:tcW w:w="459" w:type="pct"/>
            <w:vAlign w:val="center"/>
          </w:tcPr>
          <w:p>
            <w:pPr>
              <w:jc w:val="center"/>
            </w:pPr>
            <w:r>
              <w:rPr>
                <w:rFonts w:hint="eastAsia"/>
              </w:rPr>
              <w:t>1</w:t>
            </w:r>
          </w:p>
        </w:tc>
        <w:tc>
          <w:tcPr>
            <w:tcW w:w="439" w:type="pct"/>
            <w:noWrap/>
            <w:vAlign w:val="center"/>
          </w:tcPr>
          <w:p>
            <w:pPr>
              <w:jc w:val="center"/>
            </w:pPr>
            <w:r>
              <w:rPr>
                <w:rFonts w:hint="eastAsia"/>
              </w:rPr>
              <w:t>台</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5" w:type="pct"/>
            <w:vAlign w:val="center"/>
          </w:tcPr>
          <w:p>
            <w:pPr>
              <w:jc w:val="center"/>
            </w:pPr>
            <w:r>
              <w:rPr>
                <w:rFonts w:hint="eastAsia"/>
              </w:rPr>
              <w:t>16</w:t>
            </w:r>
          </w:p>
        </w:tc>
        <w:tc>
          <w:tcPr>
            <w:tcW w:w="1087" w:type="pct"/>
            <w:noWrap/>
            <w:vAlign w:val="center"/>
          </w:tcPr>
          <w:p>
            <w:pPr>
              <w:jc w:val="center"/>
            </w:pPr>
            <w:r>
              <w:rPr>
                <w:rFonts w:hint="eastAsia"/>
              </w:rPr>
              <w:t>虚拟化安全防病毒</w:t>
            </w:r>
          </w:p>
        </w:tc>
        <w:tc>
          <w:tcPr>
            <w:tcW w:w="691" w:type="pct"/>
            <w:vAlign w:val="center"/>
          </w:tcPr>
          <w:p>
            <w:pPr>
              <w:jc w:val="center"/>
              <w:rPr>
                <w:rFonts w:hint="eastAsia" w:eastAsia="宋体"/>
                <w:lang w:eastAsia="zh-CN"/>
              </w:rPr>
            </w:pPr>
            <w:r>
              <w:rPr>
                <w:rFonts w:hint="eastAsia"/>
                <w:lang w:val="en-US" w:eastAsia="zh-CN"/>
              </w:rPr>
              <w:t>奇安信</w:t>
            </w:r>
          </w:p>
        </w:tc>
        <w:tc>
          <w:tcPr>
            <w:tcW w:w="459" w:type="pct"/>
            <w:vAlign w:val="center"/>
          </w:tcPr>
          <w:p>
            <w:pPr>
              <w:jc w:val="center"/>
            </w:pPr>
            <w:r>
              <w:rPr>
                <w:rFonts w:hint="eastAsia"/>
              </w:rPr>
              <w:t>1</w:t>
            </w:r>
          </w:p>
        </w:tc>
        <w:tc>
          <w:tcPr>
            <w:tcW w:w="439" w:type="pct"/>
            <w:noWrap/>
            <w:vAlign w:val="center"/>
          </w:tcPr>
          <w:p>
            <w:pPr>
              <w:jc w:val="center"/>
            </w:pPr>
            <w:r>
              <w:rPr>
                <w:rFonts w:hint="eastAsia"/>
              </w:rPr>
              <w:t>套</w:t>
            </w:r>
          </w:p>
        </w:tc>
        <w:tc>
          <w:tcPr>
            <w:tcW w:w="993" w:type="pct"/>
            <w:noWrap/>
            <w:vAlign w:val="center"/>
          </w:tcPr>
          <w:p>
            <w:pPr>
              <w:jc w:val="center"/>
            </w:pPr>
            <w:r>
              <w:rPr>
                <w:rFonts w:hint="eastAsia"/>
              </w:rPr>
              <w:t>2019年12月3日</w:t>
            </w:r>
          </w:p>
        </w:tc>
        <w:tc>
          <w:tcPr>
            <w:tcW w:w="993" w:type="pct"/>
            <w:noWrap/>
            <w:vAlign w:val="center"/>
          </w:tcPr>
          <w:p>
            <w:pPr>
              <w:jc w:val="center"/>
            </w:pPr>
            <w:r>
              <w:rPr>
                <w:rFonts w:hint="eastAsia"/>
              </w:rPr>
              <w:t>2024年12月2日</w:t>
            </w:r>
          </w:p>
        </w:tc>
      </w:tr>
    </w:tbl>
    <w:p>
      <w:pPr>
        <w:snapToGrid w:val="0"/>
        <w:spacing w:line="360" w:lineRule="auto"/>
        <w:ind w:firstLine="482" w:firstLineChars="200"/>
        <w:rPr>
          <w:rFonts w:ascii="宋体" w:hAnsi="宋体"/>
          <w:b/>
          <w:bCs/>
          <w:sz w:val="24"/>
        </w:rPr>
      </w:pPr>
    </w:p>
    <w:p>
      <w:pPr>
        <w:snapToGrid w:val="0"/>
        <w:spacing w:line="360" w:lineRule="auto"/>
        <w:ind w:firstLine="482" w:firstLineChars="200"/>
        <w:rPr>
          <w:rFonts w:ascii="宋体" w:hAnsi="宋体"/>
          <w:b/>
          <w:bCs/>
          <w:sz w:val="24"/>
        </w:rPr>
      </w:pPr>
      <w:r>
        <w:rPr>
          <w:rFonts w:hint="eastAsia" w:ascii="宋体" w:hAnsi="宋体"/>
          <w:b/>
          <w:bCs/>
          <w:sz w:val="24"/>
        </w:rPr>
        <w:t>（二）运维服务要求</w:t>
      </w:r>
    </w:p>
    <w:p>
      <w:pPr>
        <w:snapToGrid w:val="0"/>
        <w:spacing w:line="360" w:lineRule="auto"/>
        <w:rPr>
          <w:rFonts w:ascii="宋体" w:hAnsi="宋体"/>
          <w:bCs/>
          <w:sz w:val="24"/>
        </w:rPr>
      </w:pPr>
      <w:r>
        <w:rPr>
          <w:rFonts w:hint="eastAsia" w:ascii="宋体" w:hAnsi="宋体"/>
          <w:bCs/>
          <w:sz w:val="24"/>
        </w:rPr>
        <w:t>1、服务期限：1年。</w:t>
      </w:r>
    </w:p>
    <w:p>
      <w:pPr>
        <w:snapToGrid w:val="0"/>
        <w:spacing w:line="360" w:lineRule="auto"/>
        <w:rPr>
          <w:rFonts w:ascii="宋体" w:hAnsi="宋体"/>
          <w:bCs/>
          <w:sz w:val="24"/>
        </w:rPr>
      </w:pPr>
      <w:r>
        <w:rPr>
          <w:rFonts w:hint="eastAsia" w:ascii="宋体" w:hAnsi="宋体"/>
          <w:bCs/>
          <w:sz w:val="24"/>
        </w:rPr>
        <w:t>2、按照采购方的要求，提供清单内设备及系统的维护服务，负责相关硬件设备和软件的故障诊断、维修、备件更换，并提供设备配置和升级建议等服务。普通故障要求处理人员2小时内到现场，3小时内解决故障；重大故障要求处理人员1小时内到达现场，到达现场后2小时内解决故障；特大故障要求处理人员1小时内到达现场，到达现场后1小时内解决故障；如遇特殊故障或其他不可抗力因素，可另行协商。</w:t>
      </w:r>
    </w:p>
    <w:p>
      <w:pPr>
        <w:snapToGrid w:val="0"/>
        <w:spacing w:line="360" w:lineRule="auto"/>
        <w:rPr>
          <w:rFonts w:hint="default" w:ascii="宋体" w:hAnsi="宋体" w:eastAsia="宋体"/>
          <w:bCs/>
          <w:sz w:val="24"/>
          <w:highlight w:val="yellow"/>
          <w:lang w:val="en-US" w:eastAsia="zh-CN"/>
        </w:rPr>
      </w:pPr>
      <w:r>
        <w:rPr>
          <w:rFonts w:hint="eastAsia" w:ascii="宋体" w:hAnsi="宋体"/>
          <w:bCs/>
          <w:sz w:val="24"/>
        </w:rPr>
        <w:t>3、提供3台入侵防御一年特征库、病毒库升级服务；</w:t>
      </w:r>
      <w:r>
        <w:rPr>
          <w:rFonts w:hint="eastAsia" w:ascii="宋体" w:hAnsi="宋体"/>
          <w:bCs/>
          <w:sz w:val="24"/>
          <w:lang w:val="en-US" w:eastAsia="zh-CN"/>
        </w:rPr>
        <w:t>提供</w:t>
      </w:r>
      <w:r>
        <w:rPr>
          <w:rFonts w:hint="eastAsia" w:ascii="宋体" w:hAnsi="宋体"/>
          <w:bCs/>
          <w:sz w:val="24"/>
        </w:rPr>
        <w:t>3台WAF防火墙一年特征库升级服务</w:t>
      </w:r>
      <w:r>
        <w:rPr>
          <w:rFonts w:hint="eastAsia" w:ascii="宋体" w:hAnsi="宋体"/>
          <w:bCs/>
          <w:sz w:val="24"/>
          <w:lang w:eastAsia="zh-CN"/>
        </w:rPr>
        <w:t>；</w:t>
      </w:r>
      <w:r>
        <w:rPr>
          <w:rFonts w:hint="eastAsia" w:ascii="宋体" w:hAnsi="宋体"/>
          <w:bCs/>
          <w:sz w:val="24"/>
          <w:lang w:val="en-US" w:eastAsia="zh-CN"/>
        </w:rPr>
        <w:t>提供1套（18颗CPU授权）虚拟化安全防病毒一年入侵防御、防病毒升级服务。</w:t>
      </w:r>
    </w:p>
    <w:p>
      <w:pPr>
        <w:snapToGrid w:val="0"/>
        <w:spacing w:line="360" w:lineRule="auto"/>
        <w:rPr>
          <w:rFonts w:ascii="宋体" w:hAnsi="宋体"/>
          <w:bCs/>
          <w:sz w:val="24"/>
        </w:rPr>
      </w:pPr>
      <w:r>
        <w:rPr>
          <w:rFonts w:hint="eastAsia" w:ascii="宋体" w:hAnsi="宋体"/>
          <w:bCs/>
          <w:sz w:val="24"/>
        </w:rPr>
        <w:t>4、严格遵守各项规章制度，包括运维管理、机房管理、文档管理、办公场所管理、考勤管理、评估管理、着装规范、语言规范等。</w:t>
      </w:r>
    </w:p>
    <w:p>
      <w:pPr>
        <w:snapToGrid w:val="0"/>
        <w:spacing w:line="360" w:lineRule="auto"/>
        <w:rPr>
          <w:rFonts w:ascii="宋体" w:hAnsi="宋体"/>
          <w:bCs/>
          <w:sz w:val="24"/>
        </w:rPr>
      </w:pPr>
      <w:r>
        <w:rPr>
          <w:rFonts w:hint="eastAsia" w:ascii="宋体" w:hAnsi="宋体"/>
          <w:bCs/>
          <w:sz w:val="24"/>
        </w:rPr>
        <w:t>5、负责运维服务范围内的设备巡检、故障处理、网络调试等服务工作。</w:t>
      </w:r>
    </w:p>
    <w:p>
      <w:pPr>
        <w:snapToGrid w:val="0"/>
        <w:spacing w:line="360" w:lineRule="auto"/>
        <w:rPr>
          <w:rFonts w:ascii="宋体" w:hAnsi="宋体"/>
          <w:bCs/>
          <w:sz w:val="24"/>
        </w:rPr>
      </w:pPr>
      <w:r>
        <w:rPr>
          <w:rFonts w:hint="eastAsia" w:ascii="宋体" w:hAnsi="宋体"/>
          <w:bCs/>
          <w:sz w:val="24"/>
        </w:rPr>
        <w:t>6、负责将故障及时上报采购方项目负责人，如遇重大故障在上报采购方项目负责人同时及时上报部门负责人，并根据相关流程处理并及时提交故障报告。</w:t>
      </w:r>
    </w:p>
    <w:p>
      <w:pPr>
        <w:snapToGrid w:val="0"/>
        <w:spacing w:line="360" w:lineRule="auto"/>
        <w:rPr>
          <w:rFonts w:ascii="宋体" w:hAnsi="宋体"/>
          <w:bCs/>
          <w:sz w:val="24"/>
        </w:rPr>
      </w:pPr>
      <w:r>
        <w:rPr>
          <w:rFonts w:hint="eastAsia" w:ascii="宋体" w:hAnsi="宋体"/>
          <w:bCs/>
          <w:sz w:val="24"/>
        </w:rPr>
        <w:t>7、处理问题后及时向采购方提交设备配置变更表、问题总结、性能优化方案以及常规维护报告等。</w:t>
      </w:r>
    </w:p>
    <w:p>
      <w:pPr>
        <w:snapToGrid w:val="0"/>
        <w:spacing w:line="360" w:lineRule="auto"/>
        <w:rPr>
          <w:rFonts w:ascii="宋体" w:hAnsi="宋体"/>
          <w:bCs/>
          <w:sz w:val="24"/>
        </w:rPr>
      </w:pPr>
      <w:r>
        <w:rPr>
          <w:rFonts w:hint="eastAsia" w:ascii="宋体" w:hAnsi="宋体"/>
          <w:bCs/>
          <w:sz w:val="24"/>
        </w:rPr>
        <w:t>8、每季度一次对系统软硬件进行预防性检查维护，巡检内容包含但不限于以下内容：</w:t>
      </w:r>
    </w:p>
    <w:p>
      <w:pPr>
        <w:snapToGrid w:val="0"/>
        <w:spacing w:line="360" w:lineRule="auto"/>
        <w:ind w:firstLine="420"/>
        <w:rPr>
          <w:rFonts w:ascii="宋体" w:hAnsi="宋体"/>
          <w:bCs/>
          <w:sz w:val="24"/>
        </w:rPr>
      </w:pPr>
      <w:r>
        <w:rPr>
          <w:rFonts w:hint="eastAsia" w:ascii="宋体" w:hAnsi="宋体"/>
          <w:bCs/>
          <w:sz w:val="24"/>
        </w:rPr>
        <w:t>①提供系统健康检查，并提交相应的健康检查报告；</w:t>
      </w:r>
    </w:p>
    <w:p>
      <w:pPr>
        <w:snapToGrid w:val="0"/>
        <w:spacing w:line="360" w:lineRule="auto"/>
        <w:ind w:firstLine="420"/>
        <w:rPr>
          <w:rFonts w:ascii="宋体" w:hAnsi="宋体"/>
          <w:bCs/>
          <w:sz w:val="24"/>
        </w:rPr>
      </w:pPr>
      <w:r>
        <w:rPr>
          <w:rFonts w:hint="eastAsia" w:ascii="宋体" w:hAnsi="宋体"/>
          <w:bCs/>
          <w:sz w:val="24"/>
        </w:rPr>
        <w:t>②为卫健委建立系统运行维护档案，提供调优建议方案；</w:t>
      </w:r>
    </w:p>
    <w:p>
      <w:pPr>
        <w:snapToGrid w:val="0"/>
        <w:spacing w:line="360" w:lineRule="auto"/>
        <w:ind w:firstLine="420"/>
        <w:rPr>
          <w:rFonts w:ascii="宋体" w:hAnsi="宋体"/>
          <w:bCs/>
          <w:sz w:val="24"/>
        </w:rPr>
      </w:pPr>
      <w:r>
        <w:rPr>
          <w:rFonts w:hint="eastAsia" w:ascii="宋体" w:hAnsi="宋体"/>
          <w:bCs/>
          <w:sz w:val="24"/>
        </w:rPr>
        <w:t>③运维方在服务期间发现有故障隐患，需要维修或更换部件的，需与卫健委协商，由卫健委决定是否进行维修或更换部件；</w:t>
      </w:r>
    </w:p>
    <w:p>
      <w:pPr>
        <w:snapToGrid w:val="0"/>
        <w:spacing w:line="360" w:lineRule="auto"/>
        <w:ind w:firstLine="420"/>
        <w:rPr>
          <w:rFonts w:ascii="宋体" w:hAnsi="宋体"/>
          <w:bCs/>
          <w:sz w:val="24"/>
        </w:rPr>
      </w:pPr>
      <w:r>
        <w:rPr>
          <w:rFonts w:hint="eastAsia" w:ascii="宋体" w:hAnsi="宋体"/>
          <w:bCs/>
          <w:sz w:val="24"/>
        </w:rPr>
        <w:t>④每次巡检应提供巡检报告，并根据巡检报告，及时与卫健委进行交流，及时协调解决维护工作中的问题。在完成巡检、维修、更换备机等服务后，需现场填写《客户服务单》，如实反映服务内容，也作为双方履行协议的依据，并由双方签字后生效。</w:t>
      </w:r>
    </w:p>
    <w:p>
      <w:pPr>
        <w:snapToGrid w:val="0"/>
        <w:spacing w:line="360" w:lineRule="auto"/>
        <w:ind w:firstLine="482" w:firstLineChars="200"/>
        <w:rPr>
          <w:rFonts w:ascii="宋体" w:hAnsi="宋体"/>
          <w:b/>
          <w:bCs/>
          <w:sz w:val="24"/>
        </w:rPr>
      </w:pPr>
      <w:r>
        <w:rPr>
          <w:rFonts w:hint="eastAsia" w:ascii="宋体" w:hAnsi="宋体"/>
          <w:b/>
          <w:bCs/>
          <w:sz w:val="24"/>
        </w:rPr>
        <w:t>（三）其他要求</w:t>
      </w:r>
    </w:p>
    <w:p>
      <w:pPr>
        <w:snapToGrid w:val="0"/>
        <w:spacing w:line="360" w:lineRule="auto"/>
        <w:rPr>
          <w:rFonts w:ascii="宋体" w:hAnsi="宋体"/>
          <w:bCs/>
          <w:sz w:val="24"/>
        </w:rPr>
      </w:pPr>
      <w:r>
        <w:rPr>
          <w:rFonts w:hint="eastAsia" w:ascii="宋体" w:hAnsi="宋体"/>
          <w:bCs/>
          <w:sz w:val="24"/>
        </w:rPr>
        <w:t>1、保密责任要求：中标方在本次招标及服务履行期间了解到的采购方信息，包括但不限于标书中提供的采购方软硬件信息及数据信息等内容，未经采购方书面同意，不得泄露于第三者。服务期满或终止后亦同。</w:t>
      </w:r>
    </w:p>
    <w:p>
      <w:pPr>
        <w:snapToGrid w:val="0"/>
        <w:spacing w:line="360" w:lineRule="auto"/>
        <w:rPr>
          <w:rFonts w:ascii="宋体" w:hAnsi="宋体"/>
          <w:bCs/>
          <w:sz w:val="24"/>
        </w:rPr>
      </w:pPr>
      <w:r>
        <w:rPr>
          <w:rFonts w:hint="eastAsia" w:ascii="宋体" w:hAnsi="宋体"/>
          <w:bCs/>
          <w:sz w:val="24"/>
        </w:rPr>
        <w:t>2、培训要求：针对所有维保系统，提供维保范围内设备日常操作类技术培训，协助采购人员不断提高日常问题处理及应急保障能力。</w:t>
      </w:r>
    </w:p>
    <w:p>
      <w:pPr>
        <w:snapToGrid w:val="0"/>
        <w:spacing w:line="360" w:lineRule="auto"/>
        <w:rPr>
          <w:rFonts w:ascii="宋体" w:hAnsi="宋体"/>
          <w:bCs/>
          <w:sz w:val="24"/>
        </w:rPr>
      </w:pPr>
      <w:r>
        <w:rPr>
          <w:rFonts w:hint="eastAsia" w:ascii="宋体" w:hAnsi="宋体"/>
          <w:bCs/>
          <w:sz w:val="24"/>
        </w:rPr>
        <w:t>3、服务考核及结果应用</w:t>
      </w:r>
    </w:p>
    <w:p>
      <w:pPr>
        <w:snapToGrid w:val="0"/>
        <w:spacing w:line="360" w:lineRule="auto"/>
        <w:ind w:firstLine="480" w:firstLineChars="200"/>
        <w:rPr>
          <w:rFonts w:ascii="宋体" w:hAnsi="宋体"/>
          <w:bCs/>
          <w:sz w:val="24"/>
        </w:rPr>
      </w:pPr>
      <w:r>
        <w:rPr>
          <w:rFonts w:hint="eastAsia" w:ascii="宋体" w:hAnsi="宋体"/>
          <w:bCs/>
          <w:sz w:val="24"/>
        </w:rPr>
        <w:t>从签订合同生效之日起算，采购方每半年根据服务质量考核指标对中标方进行综合考核，考核完成后形成半年度考核报告，并结合两次半年度考核结果计算年度考核结果。</w:t>
      </w:r>
    </w:p>
    <w:p>
      <w:pPr>
        <w:snapToGrid w:val="0"/>
        <w:spacing w:line="360" w:lineRule="auto"/>
        <w:ind w:firstLine="480" w:firstLineChars="200"/>
        <w:rPr>
          <w:rFonts w:ascii="宋体" w:hAnsi="宋体"/>
          <w:bCs/>
          <w:sz w:val="24"/>
        </w:rPr>
      </w:pPr>
      <w:r>
        <w:rPr>
          <w:rFonts w:hint="eastAsia" w:ascii="宋体" w:hAnsi="宋体"/>
          <w:bCs/>
          <w:sz w:val="24"/>
        </w:rPr>
        <w:t>运维服务质量应满足量化考核标准，按照服务质量考核表，定期开展本项目的运维服务质量考核，主要考核指标如下表：</w:t>
      </w:r>
    </w:p>
    <w:p>
      <w:pPr>
        <w:pStyle w:val="44"/>
        <w:spacing w:line="240" w:lineRule="exact"/>
        <w:rPr>
          <w:b/>
          <w:bCs/>
        </w:rPr>
      </w:pPr>
      <w:r>
        <w:rPr>
          <w:b/>
          <w:bCs/>
        </w:rPr>
        <w:t>表</w:t>
      </w:r>
      <w:r>
        <w:rPr>
          <w:rFonts w:hint="eastAsia"/>
          <w:b/>
          <w:bCs/>
        </w:rPr>
        <w:t>2 服务质量考核表</w:t>
      </w:r>
    </w:p>
    <w:tbl>
      <w:tblPr>
        <w:tblStyle w:val="17"/>
        <w:tblW w:w="52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738"/>
        <w:gridCol w:w="750"/>
        <w:gridCol w:w="1695"/>
        <w:gridCol w:w="2082"/>
        <w:gridCol w:w="513"/>
        <w:gridCol w:w="2736"/>
        <w:gridCol w:w="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pPr>
              <w:jc w:val="center"/>
              <w:rPr>
                <w:kern w:val="0"/>
              </w:rPr>
            </w:pPr>
            <w:r>
              <w:rPr>
                <w:rFonts w:hint="eastAsia"/>
                <w:kern w:val="0"/>
              </w:rPr>
              <w:t>考核</w:t>
            </w:r>
            <w:r>
              <w:rPr>
                <w:kern w:val="0"/>
              </w:rPr>
              <w:t>类别</w:t>
            </w:r>
          </w:p>
        </w:tc>
        <w:tc>
          <w:tcPr>
            <w:tcW w:w="377" w:type="pct"/>
            <w:vAlign w:val="center"/>
          </w:tcPr>
          <w:p>
            <w:pPr>
              <w:jc w:val="center"/>
              <w:rPr>
                <w:kern w:val="0"/>
              </w:rPr>
            </w:pPr>
            <w:r>
              <w:rPr>
                <w:rFonts w:hint="eastAsia"/>
                <w:kern w:val="0"/>
              </w:rPr>
              <w:t>权重</w:t>
            </w:r>
          </w:p>
        </w:tc>
        <w:tc>
          <w:tcPr>
            <w:tcW w:w="383" w:type="pct"/>
            <w:vAlign w:val="center"/>
          </w:tcPr>
          <w:p>
            <w:pPr>
              <w:jc w:val="center"/>
              <w:rPr>
                <w:kern w:val="0"/>
              </w:rPr>
            </w:pPr>
            <w:r>
              <w:rPr>
                <w:rFonts w:hint="eastAsia"/>
                <w:kern w:val="0"/>
              </w:rPr>
              <w:t>考核</w:t>
            </w:r>
            <w:r>
              <w:rPr>
                <w:kern w:val="0"/>
              </w:rPr>
              <w:t>子类</w:t>
            </w:r>
          </w:p>
        </w:tc>
        <w:tc>
          <w:tcPr>
            <w:tcW w:w="866" w:type="pct"/>
            <w:vAlign w:val="center"/>
          </w:tcPr>
          <w:p>
            <w:pPr>
              <w:jc w:val="center"/>
              <w:rPr>
                <w:kern w:val="0"/>
              </w:rPr>
            </w:pPr>
            <w:r>
              <w:rPr>
                <w:rFonts w:hint="eastAsia"/>
                <w:kern w:val="0"/>
              </w:rPr>
              <w:t>定义</w:t>
            </w:r>
          </w:p>
        </w:tc>
        <w:tc>
          <w:tcPr>
            <w:tcW w:w="1064" w:type="pct"/>
            <w:vAlign w:val="center"/>
          </w:tcPr>
          <w:p>
            <w:pPr>
              <w:jc w:val="center"/>
              <w:rPr>
                <w:kern w:val="0"/>
              </w:rPr>
            </w:pPr>
            <w:r>
              <w:rPr>
                <w:rFonts w:hint="eastAsia"/>
                <w:kern w:val="0"/>
              </w:rPr>
              <w:t>完成</w:t>
            </w:r>
            <w:r>
              <w:rPr>
                <w:kern w:val="0"/>
              </w:rPr>
              <w:t>指标</w:t>
            </w:r>
          </w:p>
        </w:tc>
        <w:tc>
          <w:tcPr>
            <w:tcW w:w="262" w:type="pct"/>
            <w:vAlign w:val="center"/>
          </w:tcPr>
          <w:p>
            <w:pPr>
              <w:jc w:val="center"/>
              <w:rPr>
                <w:kern w:val="0"/>
              </w:rPr>
            </w:pPr>
            <w:r>
              <w:rPr>
                <w:rFonts w:hint="eastAsia"/>
                <w:kern w:val="0"/>
              </w:rPr>
              <w:t>分数</w:t>
            </w:r>
          </w:p>
        </w:tc>
        <w:tc>
          <w:tcPr>
            <w:tcW w:w="1398" w:type="pct"/>
            <w:vAlign w:val="center"/>
          </w:tcPr>
          <w:p>
            <w:pPr>
              <w:jc w:val="center"/>
              <w:rPr>
                <w:kern w:val="0"/>
              </w:rPr>
            </w:pPr>
            <w:r>
              <w:rPr>
                <w:rFonts w:hint="eastAsia"/>
                <w:kern w:val="0"/>
              </w:rPr>
              <w:t>考核</w:t>
            </w:r>
            <w:r>
              <w:rPr>
                <w:kern w:val="0"/>
              </w:rPr>
              <w:t>要求</w:t>
            </w:r>
          </w:p>
        </w:tc>
        <w:tc>
          <w:tcPr>
            <w:tcW w:w="262" w:type="pct"/>
            <w:vAlign w:val="center"/>
          </w:tcPr>
          <w:p>
            <w:pPr>
              <w:jc w:val="center"/>
              <w:rPr>
                <w:kern w:val="0"/>
              </w:rPr>
            </w:pPr>
            <w:r>
              <w:rPr>
                <w:rFonts w:hint="eastAsia"/>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restart"/>
            <w:vAlign w:val="center"/>
          </w:tcPr>
          <w:p>
            <w:pPr>
              <w:jc w:val="center"/>
              <w:rPr>
                <w:kern w:val="0"/>
              </w:rPr>
            </w:pPr>
            <w:r>
              <w:rPr>
                <w:rFonts w:hint="eastAsia"/>
                <w:kern w:val="0"/>
              </w:rPr>
              <w:t>服务团队</w:t>
            </w:r>
          </w:p>
        </w:tc>
        <w:tc>
          <w:tcPr>
            <w:tcW w:w="377" w:type="pct"/>
            <w:vMerge w:val="restart"/>
            <w:vAlign w:val="center"/>
          </w:tcPr>
          <w:p>
            <w:pPr>
              <w:jc w:val="center"/>
              <w:rPr>
                <w:kern w:val="0"/>
              </w:rPr>
            </w:pPr>
            <w:r>
              <w:rPr>
                <w:rFonts w:hint="eastAsia"/>
                <w:kern w:val="0"/>
              </w:rPr>
              <w:t>20%</w:t>
            </w:r>
          </w:p>
        </w:tc>
        <w:tc>
          <w:tcPr>
            <w:tcW w:w="383" w:type="pct"/>
            <w:vAlign w:val="center"/>
          </w:tcPr>
          <w:p>
            <w:pPr>
              <w:jc w:val="center"/>
              <w:rPr>
                <w:kern w:val="0"/>
              </w:rPr>
            </w:pPr>
            <w:r>
              <w:rPr>
                <w:rFonts w:hint="eastAsia"/>
                <w:kern w:val="0"/>
              </w:rPr>
              <w:t>服务范围</w:t>
            </w:r>
          </w:p>
        </w:tc>
        <w:tc>
          <w:tcPr>
            <w:tcW w:w="866" w:type="pct"/>
            <w:vAlign w:val="center"/>
          </w:tcPr>
          <w:p>
            <w:pPr>
              <w:jc w:val="left"/>
              <w:rPr>
                <w:kern w:val="0"/>
              </w:rPr>
            </w:pPr>
            <w:r>
              <w:rPr>
                <w:rFonts w:hint="eastAsia"/>
                <w:kern w:val="0"/>
              </w:rPr>
              <w:t>该指标考核供应商承诺服务范围</w:t>
            </w:r>
          </w:p>
        </w:tc>
        <w:tc>
          <w:tcPr>
            <w:tcW w:w="1064" w:type="pct"/>
            <w:vAlign w:val="center"/>
          </w:tcPr>
          <w:p>
            <w:pPr>
              <w:jc w:val="left"/>
              <w:rPr>
                <w:kern w:val="0"/>
              </w:rPr>
            </w:pPr>
            <w:r>
              <w:rPr>
                <w:rFonts w:hint="eastAsia"/>
                <w:kern w:val="0"/>
              </w:rPr>
              <w:t>服务频率满足项目实施，与承诺的服务范围匹配。</w:t>
            </w:r>
          </w:p>
        </w:tc>
        <w:tc>
          <w:tcPr>
            <w:tcW w:w="262" w:type="pct"/>
            <w:vAlign w:val="center"/>
          </w:tcPr>
          <w:p>
            <w:pPr>
              <w:jc w:val="center"/>
              <w:rPr>
                <w:kern w:val="0"/>
              </w:rPr>
            </w:pPr>
            <w:r>
              <w:rPr>
                <w:rFonts w:hint="eastAsia"/>
                <w:kern w:val="0"/>
              </w:rPr>
              <w:t>4</w:t>
            </w:r>
          </w:p>
        </w:tc>
        <w:tc>
          <w:tcPr>
            <w:tcW w:w="1398" w:type="pct"/>
            <w:vAlign w:val="center"/>
          </w:tcPr>
          <w:p>
            <w:pPr>
              <w:jc w:val="left"/>
              <w:rPr>
                <w:kern w:val="0"/>
              </w:rPr>
            </w:pPr>
            <w:r>
              <w:rPr>
                <w:rFonts w:hint="eastAsia"/>
                <w:kern w:val="0"/>
              </w:rPr>
              <w:t>根据问题的严重性分为三档</w:t>
            </w:r>
          </w:p>
          <w:p>
            <w:pPr>
              <w:jc w:val="left"/>
              <w:rPr>
                <w:kern w:val="0"/>
              </w:rPr>
            </w:pPr>
            <w:r>
              <w:rPr>
                <w:rFonts w:hint="eastAsia"/>
                <w:kern w:val="0"/>
              </w:rPr>
              <w:t>1）一般，扣1分；</w:t>
            </w:r>
          </w:p>
          <w:p>
            <w:pPr>
              <w:jc w:val="left"/>
              <w:rPr>
                <w:kern w:val="0"/>
              </w:rPr>
            </w:pPr>
            <w:r>
              <w:rPr>
                <w:rFonts w:hint="eastAsia"/>
                <w:kern w:val="0"/>
              </w:rPr>
              <w:t>2）较严重，扣2分；</w:t>
            </w:r>
          </w:p>
          <w:p>
            <w:pPr>
              <w:jc w:val="left"/>
              <w:rPr>
                <w:kern w:val="0"/>
              </w:rPr>
            </w:pPr>
            <w:r>
              <w:rPr>
                <w:rFonts w:hint="eastAsia"/>
                <w:kern w:val="0"/>
              </w:rPr>
              <w:t>3）十分严重，扣4分</w:t>
            </w:r>
          </w:p>
        </w:tc>
        <w:tc>
          <w:tcPr>
            <w:tcW w:w="262" w:type="pct"/>
            <w:vAlign w:val="center"/>
          </w:tcPr>
          <w:p>
            <w:pPr>
              <w:jc w:val="left"/>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continue"/>
            <w:vAlign w:val="center"/>
          </w:tcPr>
          <w:p>
            <w:pPr>
              <w:jc w:val="center"/>
              <w:rPr>
                <w:kern w:val="0"/>
              </w:rPr>
            </w:pPr>
          </w:p>
        </w:tc>
        <w:tc>
          <w:tcPr>
            <w:tcW w:w="377" w:type="pct"/>
            <w:vMerge w:val="continue"/>
            <w:vAlign w:val="center"/>
          </w:tcPr>
          <w:p>
            <w:pPr>
              <w:jc w:val="center"/>
              <w:rPr>
                <w:kern w:val="0"/>
              </w:rPr>
            </w:pPr>
          </w:p>
        </w:tc>
        <w:tc>
          <w:tcPr>
            <w:tcW w:w="383" w:type="pct"/>
            <w:vAlign w:val="center"/>
          </w:tcPr>
          <w:p>
            <w:pPr>
              <w:jc w:val="center"/>
              <w:rPr>
                <w:kern w:val="0"/>
              </w:rPr>
            </w:pPr>
            <w:r>
              <w:rPr>
                <w:rFonts w:hint="eastAsia"/>
                <w:kern w:val="0"/>
              </w:rPr>
              <w:t>服务人员技能</w:t>
            </w:r>
          </w:p>
        </w:tc>
        <w:tc>
          <w:tcPr>
            <w:tcW w:w="866" w:type="pct"/>
            <w:vAlign w:val="center"/>
          </w:tcPr>
          <w:p>
            <w:pPr>
              <w:jc w:val="left"/>
              <w:rPr>
                <w:kern w:val="0"/>
              </w:rPr>
            </w:pPr>
            <w:r>
              <w:rPr>
                <w:rFonts w:hint="eastAsia"/>
                <w:kern w:val="0"/>
              </w:rPr>
              <w:t>该指标考核供应商承诺的人员技能、沟通管理能力、组织协调能力</w:t>
            </w:r>
          </w:p>
        </w:tc>
        <w:tc>
          <w:tcPr>
            <w:tcW w:w="1064" w:type="pct"/>
            <w:vAlign w:val="center"/>
          </w:tcPr>
          <w:p>
            <w:pPr>
              <w:jc w:val="left"/>
              <w:rPr>
                <w:kern w:val="0"/>
              </w:rPr>
            </w:pPr>
            <w:r>
              <w:rPr>
                <w:rFonts w:hint="eastAsia"/>
                <w:kern w:val="0"/>
              </w:rPr>
              <w:t>服务人员的技能、沟通和管理各项能力满足现场需求</w:t>
            </w:r>
          </w:p>
        </w:tc>
        <w:tc>
          <w:tcPr>
            <w:tcW w:w="262" w:type="pct"/>
            <w:vAlign w:val="center"/>
          </w:tcPr>
          <w:p>
            <w:pPr>
              <w:jc w:val="center"/>
              <w:rPr>
                <w:kern w:val="0"/>
              </w:rPr>
            </w:pPr>
            <w:r>
              <w:rPr>
                <w:rFonts w:hint="eastAsia"/>
                <w:kern w:val="0"/>
              </w:rPr>
              <w:t>4</w:t>
            </w:r>
          </w:p>
        </w:tc>
        <w:tc>
          <w:tcPr>
            <w:tcW w:w="1398" w:type="pct"/>
            <w:vAlign w:val="center"/>
          </w:tcPr>
          <w:p>
            <w:pPr>
              <w:jc w:val="left"/>
              <w:rPr>
                <w:kern w:val="0"/>
              </w:rPr>
            </w:pPr>
            <w:r>
              <w:rPr>
                <w:rFonts w:hint="eastAsia"/>
                <w:kern w:val="0"/>
              </w:rPr>
              <w:t>根据问题的严重性分为三档</w:t>
            </w:r>
          </w:p>
          <w:p>
            <w:pPr>
              <w:jc w:val="left"/>
              <w:rPr>
                <w:kern w:val="0"/>
              </w:rPr>
            </w:pPr>
            <w:r>
              <w:rPr>
                <w:rFonts w:hint="eastAsia"/>
                <w:kern w:val="0"/>
              </w:rPr>
              <w:t>1）一般，扣1分；</w:t>
            </w:r>
          </w:p>
          <w:p>
            <w:pPr>
              <w:jc w:val="left"/>
              <w:rPr>
                <w:kern w:val="0"/>
              </w:rPr>
            </w:pPr>
            <w:r>
              <w:rPr>
                <w:rFonts w:hint="eastAsia"/>
                <w:kern w:val="0"/>
              </w:rPr>
              <w:t>2）较严重，扣2分；</w:t>
            </w:r>
          </w:p>
          <w:p>
            <w:pPr>
              <w:jc w:val="left"/>
              <w:rPr>
                <w:kern w:val="0"/>
              </w:rPr>
            </w:pPr>
            <w:r>
              <w:rPr>
                <w:rFonts w:hint="eastAsia"/>
                <w:kern w:val="0"/>
              </w:rPr>
              <w:t>3）十分严重，扣4分</w:t>
            </w:r>
          </w:p>
        </w:tc>
        <w:tc>
          <w:tcPr>
            <w:tcW w:w="262" w:type="pct"/>
            <w:vAlign w:val="center"/>
          </w:tcPr>
          <w:p>
            <w:pPr>
              <w:jc w:val="left"/>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continue"/>
            <w:vAlign w:val="center"/>
          </w:tcPr>
          <w:p>
            <w:pPr>
              <w:jc w:val="center"/>
              <w:rPr>
                <w:kern w:val="0"/>
              </w:rPr>
            </w:pPr>
          </w:p>
        </w:tc>
        <w:tc>
          <w:tcPr>
            <w:tcW w:w="377" w:type="pct"/>
            <w:vMerge w:val="continue"/>
            <w:vAlign w:val="center"/>
          </w:tcPr>
          <w:p>
            <w:pPr>
              <w:jc w:val="center"/>
              <w:rPr>
                <w:kern w:val="0"/>
              </w:rPr>
            </w:pPr>
          </w:p>
        </w:tc>
        <w:tc>
          <w:tcPr>
            <w:tcW w:w="383" w:type="pct"/>
            <w:vAlign w:val="center"/>
          </w:tcPr>
          <w:p>
            <w:pPr>
              <w:jc w:val="center"/>
              <w:rPr>
                <w:kern w:val="0"/>
              </w:rPr>
            </w:pPr>
            <w:r>
              <w:rPr>
                <w:rFonts w:hint="eastAsia"/>
                <w:kern w:val="0"/>
              </w:rPr>
              <w:t>服务人员工作纪律</w:t>
            </w:r>
          </w:p>
        </w:tc>
        <w:tc>
          <w:tcPr>
            <w:tcW w:w="866" w:type="pct"/>
            <w:vAlign w:val="center"/>
          </w:tcPr>
          <w:p>
            <w:pPr>
              <w:jc w:val="left"/>
              <w:rPr>
                <w:kern w:val="0"/>
              </w:rPr>
            </w:pPr>
            <w:r>
              <w:rPr>
                <w:rFonts w:hint="eastAsia"/>
                <w:kern w:val="0"/>
              </w:rPr>
              <w:t>该指标考核供应商提供的服务人员的工作纪律</w:t>
            </w:r>
          </w:p>
        </w:tc>
        <w:tc>
          <w:tcPr>
            <w:tcW w:w="1064" w:type="pct"/>
            <w:vAlign w:val="center"/>
          </w:tcPr>
          <w:p>
            <w:pPr>
              <w:jc w:val="left"/>
              <w:rPr>
                <w:kern w:val="0"/>
              </w:rPr>
            </w:pPr>
            <w:r>
              <w:rPr>
                <w:rFonts w:hint="eastAsia"/>
                <w:kern w:val="0"/>
              </w:rPr>
              <w:t>服务人员的工作纪律好，不发生违反现场规定的行为</w:t>
            </w:r>
          </w:p>
        </w:tc>
        <w:tc>
          <w:tcPr>
            <w:tcW w:w="262" w:type="pct"/>
            <w:vAlign w:val="center"/>
          </w:tcPr>
          <w:p>
            <w:pPr>
              <w:jc w:val="center"/>
              <w:rPr>
                <w:kern w:val="0"/>
              </w:rPr>
            </w:pPr>
            <w:r>
              <w:rPr>
                <w:rFonts w:hint="eastAsia"/>
                <w:kern w:val="0"/>
              </w:rPr>
              <w:t>4</w:t>
            </w:r>
          </w:p>
        </w:tc>
        <w:tc>
          <w:tcPr>
            <w:tcW w:w="1398" w:type="pct"/>
            <w:vAlign w:val="center"/>
          </w:tcPr>
          <w:p>
            <w:pPr>
              <w:jc w:val="left"/>
              <w:rPr>
                <w:kern w:val="0"/>
              </w:rPr>
            </w:pPr>
            <w:r>
              <w:rPr>
                <w:rFonts w:hint="eastAsia"/>
                <w:kern w:val="0"/>
              </w:rPr>
              <w:t>根据问题的严重性分为三档</w:t>
            </w:r>
          </w:p>
          <w:p>
            <w:pPr>
              <w:jc w:val="left"/>
              <w:rPr>
                <w:kern w:val="0"/>
              </w:rPr>
            </w:pPr>
            <w:r>
              <w:rPr>
                <w:rFonts w:hint="eastAsia"/>
                <w:kern w:val="0"/>
              </w:rPr>
              <w:t>1）一般，扣1分；</w:t>
            </w:r>
          </w:p>
          <w:p>
            <w:pPr>
              <w:jc w:val="left"/>
              <w:rPr>
                <w:kern w:val="0"/>
              </w:rPr>
            </w:pPr>
            <w:r>
              <w:rPr>
                <w:rFonts w:hint="eastAsia"/>
                <w:kern w:val="0"/>
              </w:rPr>
              <w:t>2）较严重，扣2分；</w:t>
            </w:r>
          </w:p>
          <w:p>
            <w:pPr>
              <w:jc w:val="left"/>
              <w:rPr>
                <w:kern w:val="0"/>
              </w:rPr>
            </w:pPr>
            <w:r>
              <w:rPr>
                <w:rFonts w:hint="eastAsia"/>
                <w:kern w:val="0"/>
              </w:rPr>
              <w:t>3）十分严重，扣4分</w:t>
            </w:r>
          </w:p>
        </w:tc>
        <w:tc>
          <w:tcPr>
            <w:tcW w:w="262" w:type="pct"/>
            <w:vAlign w:val="center"/>
          </w:tcPr>
          <w:p>
            <w:pPr>
              <w:jc w:val="left"/>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continue"/>
            <w:vAlign w:val="center"/>
          </w:tcPr>
          <w:p>
            <w:pPr>
              <w:jc w:val="center"/>
              <w:rPr>
                <w:kern w:val="0"/>
              </w:rPr>
            </w:pPr>
          </w:p>
        </w:tc>
        <w:tc>
          <w:tcPr>
            <w:tcW w:w="377" w:type="pct"/>
            <w:vMerge w:val="continue"/>
            <w:vAlign w:val="center"/>
          </w:tcPr>
          <w:p>
            <w:pPr>
              <w:jc w:val="center"/>
              <w:rPr>
                <w:kern w:val="0"/>
              </w:rPr>
            </w:pPr>
          </w:p>
        </w:tc>
        <w:tc>
          <w:tcPr>
            <w:tcW w:w="383" w:type="pct"/>
            <w:vAlign w:val="center"/>
          </w:tcPr>
          <w:p>
            <w:pPr>
              <w:jc w:val="center"/>
              <w:rPr>
                <w:kern w:val="0"/>
              </w:rPr>
            </w:pPr>
            <w:r>
              <w:rPr>
                <w:rFonts w:hint="eastAsia"/>
                <w:kern w:val="0"/>
              </w:rPr>
              <w:t>服务人员态度</w:t>
            </w:r>
          </w:p>
        </w:tc>
        <w:tc>
          <w:tcPr>
            <w:tcW w:w="866" w:type="pct"/>
            <w:vAlign w:val="center"/>
          </w:tcPr>
          <w:p>
            <w:pPr>
              <w:jc w:val="left"/>
              <w:rPr>
                <w:kern w:val="0"/>
              </w:rPr>
            </w:pPr>
            <w:r>
              <w:rPr>
                <w:rFonts w:hint="eastAsia"/>
                <w:kern w:val="0"/>
              </w:rPr>
              <w:t>该指标考核供应商提供的服务人员的服务态度</w:t>
            </w:r>
          </w:p>
        </w:tc>
        <w:tc>
          <w:tcPr>
            <w:tcW w:w="1064" w:type="pct"/>
            <w:vAlign w:val="center"/>
          </w:tcPr>
          <w:p>
            <w:pPr>
              <w:jc w:val="left"/>
              <w:rPr>
                <w:kern w:val="0"/>
              </w:rPr>
            </w:pPr>
            <w:r>
              <w:rPr>
                <w:rFonts w:hint="eastAsia"/>
                <w:kern w:val="0"/>
              </w:rPr>
              <w:t>服务人员责任心强，服务态度好，积极展开相关工作</w:t>
            </w:r>
          </w:p>
        </w:tc>
        <w:tc>
          <w:tcPr>
            <w:tcW w:w="262" w:type="pct"/>
            <w:vAlign w:val="center"/>
          </w:tcPr>
          <w:p>
            <w:pPr>
              <w:jc w:val="center"/>
              <w:rPr>
                <w:kern w:val="0"/>
              </w:rPr>
            </w:pPr>
            <w:r>
              <w:rPr>
                <w:rFonts w:hint="eastAsia"/>
                <w:kern w:val="0"/>
              </w:rPr>
              <w:t>4</w:t>
            </w:r>
          </w:p>
        </w:tc>
        <w:tc>
          <w:tcPr>
            <w:tcW w:w="1398" w:type="pct"/>
            <w:vAlign w:val="center"/>
          </w:tcPr>
          <w:p>
            <w:pPr>
              <w:jc w:val="left"/>
              <w:rPr>
                <w:kern w:val="0"/>
              </w:rPr>
            </w:pPr>
            <w:r>
              <w:rPr>
                <w:rFonts w:hint="eastAsia"/>
                <w:kern w:val="0"/>
              </w:rPr>
              <w:t>根据问题的严重性分为三档</w:t>
            </w:r>
          </w:p>
          <w:p>
            <w:pPr>
              <w:jc w:val="left"/>
              <w:rPr>
                <w:kern w:val="0"/>
              </w:rPr>
            </w:pPr>
            <w:r>
              <w:rPr>
                <w:rFonts w:hint="eastAsia"/>
                <w:kern w:val="0"/>
              </w:rPr>
              <w:t>1）一般，扣1分；</w:t>
            </w:r>
          </w:p>
          <w:p>
            <w:pPr>
              <w:jc w:val="left"/>
              <w:rPr>
                <w:kern w:val="0"/>
              </w:rPr>
            </w:pPr>
            <w:r>
              <w:rPr>
                <w:rFonts w:hint="eastAsia"/>
                <w:kern w:val="0"/>
              </w:rPr>
              <w:t>2）较严重，扣2分；</w:t>
            </w:r>
          </w:p>
          <w:p>
            <w:pPr>
              <w:jc w:val="left"/>
              <w:rPr>
                <w:kern w:val="0"/>
              </w:rPr>
            </w:pPr>
            <w:r>
              <w:rPr>
                <w:rFonts w:hint="eastAsia"/>
                <w:kern w:val="0"/>
              </w:rPr>
              <w:t>3）十分严重，扣4分</w:t>
            </w:r>
          </w:p>
        </w:tc>
        <w:tc>
          <w:tcPr>
            <w:tcW w:w="262" w:type="pct"/>
            <w:vAlign w:val="center"/>
          </w:tcPr>
          <w:p>
            <w:pPr>
              <w:jc w:val="left"/>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389" w:type="pct"/>
            <w:vMerge w:val="continue"/>
            <w:vAlign w:val="center"/>
          </w:tcPr>
          <w:p>
            <w:pPr>
              <w:jc w:val="center"/>
              <w:rPr>
                <w:kern w:val="0"/>
              </w:rPr>
            </w:pPr>
          </w:p>
        </w:tc>
        <w:tc>
          <w:tcPr>
            <w:tcW w:w="377" w:type="pct"/>
            <w:vMerge w:val="continue"/>
            <w:vAlign w:val="center"/>
          </w:tcPr>
          <w:p>
            <w:pPr>
              <w:jc w:val="center"/>
              <w:rPr>
                <w:kern w:val="0"/>
              </w:rPr>
            </w:pPr>
          </w:p>
        </w:tc>
        <w:tc>
          <w:tcPr>
            <w:tcW w:w="383" w:type="pct"/>
            <w:vAlign w:val="center"/>
          </w:tcPr>
          <w:p>
            <w:pPr>
              <w:jc w:val="center"/>
              <w:rPr>
                <w:kern w:val="0"/>
              </w:rPr>
            </w:pPr>
            <w:r>
              <w:rPr>
                <w:rFonts w:hint="eastAsia"/>
                <w:kern w:val="0"/>
              </w:rPr>
              <w:t>服务人员维护规范性</w:t>
            </w:r>
          </w:p>
        </w:tc>
        <w:tc>
          <w:tcPr>
            <w:tcW w:w="866" w:type="pct"/>
            <w:vAlign w:val="center"/>
          </w:tcPr>
          <w:p>
            <w:pPr>
              <w:jc w:val="left"/>
              <w:rPr>
                <w:kern w:val="0"/>
              </w:rPr>
            </w:pPr>
            <w:r>
              <w:rPr>
                <w:rFonts w:hint="eastAsia"/>
                <w:kern w:val="0"/>
              </w:rPr>
              <w:t>该指标考核供应商提供的服务人员的维护规范</w:t>
            </w:r>
          </w:p>
        </w:tc>
        <w:tc>
          <w:tcPr>
            <w:tcW w:w="1064" w:type="pct"/>
            <w:vAlign w:val="center"/>
          </w:tcPr>
          <w:p>
            <w:pPr>
              <w:jc w:val="left"/>
              <w:rPr>
                <w:kern w:val="0"/>
              </w:rPr>
            </w:pPr>
            <w:r>
              <w:rPr>
                <w:rFonts w:hint="eastAsia"/>
                <w:kern w:val="0"/>
              </w:rPr>
              <w:t>服务团队的维护规范性，避免不必要的问题发生</w:t>
            </w:r>
          </w:p>
        </w:tc>
        <w:tc>
          <w:tcPr>
            <w:tcW w:w="262" w:type="pct"/>
            <w:vAlign w:val="center"/>
          </w:tcPr>
          <w:p>
            <w:pPr>
              <w:jc w:val="center"/>
              <w:rPr>
                <w:kern w:val="0"/>
              </w:rPr>
            </w:pPr>
            <w:r>
              <w:rPr>
                <w:rFonts w:hint="eastAsia"/>
                <w:kern w:val="0"/>
              </w:rPr>
              <w:t>4</w:t>
            </w:r>
          </w:p>
        </w:tc>
        <w:tc>
          <w:tcPr>
            <w:tcW w:w="1398" w:type="pct"/>
            <w:vAlign w:val="center"/>
          </w:tcPr>
          <w:p>
            <w:pPr>
              <w:jc w:val="left"/>
              <w:rPr>
                <w:kern w:val="0"/>
              </w:rPr>
            </w:pPr>
            <w:r>
              <w:rPr>
                <w:rFonts w:hint="eastAsia"/>
                <w:kern w:val="0"/>
              </w:rPr>
              <w:t>根据问题的严重性分为三档</w:t>
            </w:r>
          </w:p>
          <w:p>
            <w:pPr>
              <w:jc w:val="left"/>
              <w:rPr>
                <w:kern w:val="0"/>
              </w:rPr>
            </w:pPr>
            <w:r>
              <w:rPr>
                <w:rFonts w:hint="eastAsia"/>
                <w:kern w:val="0"/>
              </w:rPr>
              <w:t>1）一般，扣1分；</w:t>
            </w:r>
          </w:p>
          <w:p>
            <w:pPr>
              <w:jc w:val="left"/>
              <w:rPr>
                <w:kern w:val="0"/>
              </w:rPr>
            </w:pPr>
            <w:r>
              <w:rPr>
                <w:rFonts w:hint="eastAsia"/>
                <w:kern w:val="0"/>
              </w:rPr>
              <w:t>2）较严重，扣2分；</w:t>
            </w:r>
          </w:p>
          <w:p>
            <w:pPr>
              <w:jc w:val="left"/>
              <w:rPr>
                <w:kern w:val="0"/>
              </w:rPr>
            </w:pPr>
            <w:r>
              <w:rPr>
                <w:rFonts w:hint="eastAsia"/>
                <w:kern w:val="0"/>
              </w:rPr>
              <w:t>3）十分严重，扣4分</w:t>
            </w:r>
          </w:p>
        </w:tc>
        <w:tc>
          <w:tcPr>
            <w:tcW w:w="262" w:type="pct"/>
            <w:vAlign w:val="center"/>
          </w:tcPr>
          <w:p>
            <w:pPr>
              <w:jc w:val="left"/>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restart"/>
            <w:vAlign w:val="center"/>
          </w:tcPr>
          <w:p>
            <w:pPr>
              <w:jc w:val="center"/>
              <w:rPr>
                <w:kern w:val="0"/>
              </w:rPr>
            </w:pPr>
            <w:r>
              <w:rPr>
                <w:rFonts w:hint="eastAsia"/>
                <w:kern w:val="0"/>
              </w:rPr>
              <w:t>服务实施</w:t>
            </w:r>
          </w:p>
        </w:tc>
        <w:tc>
          <w:tcPr>
            <w:tcW w:w="377" w:type="pct"/>
            <w:vMerge w:val="restart"/>
            <w:vAlign w:val="center"/>
          </w:tcPr>
          <w:p>
            <w:pPr>
              <w:jc w:val="center"/>
              <w:rPr>
                <w:kern w:val="0"/>
              </w:rPr>
            </w:pPr>
            <w:r>
              <w:rPr>
                <w:rFonts w:hint="eastAsia"/>
                <w:kern w:val="0"/>
              </w:rPr>
              <w:t>60%</w:t>
            </w:r>
          </w:p>
        </w:tc>
        <w:tc>
          <w:tcPr>
            <w:tcW w:w="383" w:type="pct"/>
            <w:vAlign w:val="center"/>
          </w:tcPr>
          <w:p>
            <w:pPr>
              <w:jc w:val="center"/>
              <w:rPr>
                <w:kern w:val="0"/>
              </w:rPr>
            </w:pPr>
            <w:r>
              <w:rPr>
                <w:rFonts w:hint="eastAsia"/>
                <w:kern w:val="0"/>
              </w:rPr>
              <w:t>服务内容完整性</w:t>
            </w:r>
          </w:p>
        </w:tc>
        <w:tc>
          <w:tcPr>
            <w:tcW w:w="866" w:type="pct"/>
            <w:vAlign w:val="center"/>
          </w:tcPr>
          <w:p>
            <w:pPr>
              <w:jc w:val="left"/>
              <w:rPr>
                <w:kern w:val="0"/>
              </w:rPr>
            </w:pPr>
            <w:r>
              <w:rPr>
                <w:rFonts w:hint="eastAsia"/>
                <w:kern w:val="0"/>
              </w:rPr>
              <w:t>该指标考核供应商执行服务内容的完整性</w:t>
            </w:r>
          </w:p>
        </w:tc>
        <w:tc>
          <w:tcPr>
            <w:tcW w:w="1064" w:type="pct"/>
            <w:vAlign w:val="center"/>
          </w:tcPr>
          <w:p>
            <w:pPr>
              <w:jc w:val="left"/>
              <w:rPr>
                <w:kern w:val="0"/>
              </w:rPr>
            </w:pPr>
            <w:r>
              <w:rPr>
                <w:rFonts w:hint="eastAsia"/>
                <w:kern w:val="0"/>
              </w:rPr>
              <w:t>服务内容需要按照服务范围、服务内容严格执行。</w:t>
            </w:r>
          </w:p>
        </w:tc>
        <w:tc>
          <w:tcPr>
            <w:tcW w:w="262" w:type="pct"/>
            <w:vAlign w:val="center"/>
          </w:tcPr>
          <w:p>
            <w:pPr>
              <w:jc w:val="center"/>
              <w:rPr>
                <w:kern w:val="0"/>
              </w:rPr>
            </w:pPr>
            <w:r>
              <w:rPr>
                <w:rFonts w:hint="eastAsia"/>
                <w:kern w:val="0"/>
              </w:rPr>
              <w:t>20</w:t>
            </w:r>
          </w:p>
        </w:tc>
        <w:tc>
          <w:tcPr>
            <w:tcW w:w="1398" w:type="pct"/>
            <w:vAlign w:val="center"/>
          </w:tcPr>
          <w:p>
            <w:pPr>
              <w:jc w:val="left"/>
              <w:rPr>
                <w:kern w:val="0"/>
              </w:rPr>
            </w:pPr>
            <w:r>
              <w:rPr>
                <w:rFonts w:hint="eastAsia"/>
                <w:kern w:val="0"/>
              </w:rPr>
              <w:t>服务内容缺失或服务范围不足则不合格扣10分，本条目扣完为止。</w:t>
            </w:r>
          </w:p>
        </w:tc>
        <w:tc>
          <w:tcPr>
            <w:tcW w:w="262" w:type="pct"/>
            <w:vAlign w:val="center"/>
          </w:tcPr>
          <w:p>
            <w:pPr>
              <w:jc w:val="left"/>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continue"/>
            <w:vAlign w:val="center"/>
          </w:tcPr>
          <w:p>
            <w:pPr>
              <w:jc w:val="center"/>
              <w:rPr>
                <w:kern w:val="0"/>
              </w:rPr>
            </w:pPr>
          </w:p>
        </w:tc>
        <w:tc>
          <w:tcPr>
            <w:tcW w:w="377" w:type="pct"/>
            <w:vMerge w:val="continue"/>
            <w:vAlign w:val="center"/>
          </w:tcPr>
          <w:p>
            <w:pPr>
              <w:jc w:val="center"/>
              <w:rPr>
                <w:kern w:val="0"/>
              </w:rPr>
            </w:pPr>
          </w:p>
        </w:tc>
        <w:tc>
          <w:tcPr>
            <w:tcW w:w="383" w:type="pct"/>
            <w:vAlign w:val="center"/>
          </w:tcPr>
          <w:p>
            <w:pPr>
              <w:jc w:val="center"/>
              <w:rPr>
                <w:kern w:val="0"/>
              </w:rPr>
            </w:pPr>
            <w:r>
              <w:rPr>
                <w:rFonts w:hint="eastAsia"/>
                <w:kern w:val="0"/>
              </w:rPr>
              <w:t>事件响应及时性</w:t>
            </w:r>
          </w:p>
        </w:tc>
        <w:tc>
          <w:tcPr>
            <w:tcW w:w="866" w:type="pct"/>
            <w:vAlign w:val="center"/>
          </w:tcPr>
          <w:p>
            <w:pPr>
              <w:jc w:val="left"/>
              <w:rPr>
                <w:kern w:val="0"/>
              </w:rPr>
            </w:pPr>
            <w:r>
              <w:rPr>
                <w:rFonts w:hint="eastAsia"/>
                <w:kern w:val="0"/>
              </w:rPr>
              <w:t>该指标考核供应商对突发事件的响应情况</w:t>
            </w:r>
          </w:p>
        </w:tc>
        <w:tc>
          <w:tcPr>
            <w:tcW w:w="1064" w:type="pct"/>
            <w:vAlign w:val="center"/>
          </w:tcPr>
          <w:p>
            <w:pPr>
              <w:jc w:val="left"/>
              <w:rPr>
                <w:kern w:val="0"/>
              </w:rPr>
            </w:pPr>
            <w:r>
              <w:rPr>
                <w:rFonts w:hint="eastAsia"/>
                <w:kern w:val="0"/>
              </w:rPr>
              <w:t>按要求及时响应及处置突发事件，事件响应状态和结果及时通报卫健委。</w:t>
            </w:r>
          </w:p>
        </w:tc>
        <w:tc>
          <w:tcPr>
            <w:tcW w:w="262" w:type="pct"/>
            <w:vAlign w:val="center"/>
          </w:tcPr>
          <w:p>
            <w:pPr>
              <w:jc w:val="center"/>
              <w:rPr>
                <w:kern w:val="0"/>
              </w:rPr>
            </w:pPr>
            <w:r>
              <w:rPr>
                <w:rFonts w:hint="eastAsia"/>
                <w:kern w:val="0"/>
              </w:rPr>
              <w:t>20</w:t>
            </w:r>
          </w:p>
        </w:tc>
        <w:tc>
          <w:tcPr>
            <w:tcW w:w="1398" w:type="pct"/>
            <w:vAlign w:val="center"/>
          </w:tcPr>
          <w:p>
            <w:pPr>
              <w:jc w:val="left"/>
              <w:rPr>
                <w:kern w:val="0"/>
              </w:rPr>
            </w:pPr>
            <w:r>
              <w:rPr>
                <w:rFonts w:hint="eastAsia"/>
                <w:kern w:val="0"/>
              </w:rPr>
              <w:t>出现响应不及时或“未处置”事件，出现一次则不合格扣5分，本条目扣完为止。</w:t>
            </w:r>
          </w:p>
        </w:tc>
        <w:tc>
          <w:tcPr>
            <w:tcW w:w="262" w:type="pct"/>
            <w:vAlign w:val="center"/>
          </w:tcPr>
          <w:p>
            <w:pPr>
              <w:jc w:val="left"/>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continue"/>
            <w:vAlign w:val="center"/>
          </w:tcPr>
          <w:p>
            <w:pPr>
              <w:jc w:val="center"/>
              <w:rPr>
                <w:kern w:val="0"/>
              </w:rPr>
            </w:pPr>
          </w:p>
        </w:tc>
        <w:tc>
          <w:tcPr>
            <w:tcW w:w="377" w:type="pct"/>
            <w:vMerge w:val="continue"/>
            <w:vAlign w:val="center"/>
          </w:tcPr>
          <w:p>
            <w:pPr>
              <w:jc w:val="center"/>
              <w:rPr>
                <w:kern w:val="0"/>
              </w:rPr>
            </w:pPr>
          </w:p>
        </w:tc>
        <w:tc>
          <w:tcPr>
            <w:tcW w:w="383" w:type="pct"/>
            <w:vAlign w:val="center"/>
          </w:tcPr>
          <w:p>
            <w:pPr>
              <w:jc w:val="center"/>
              <w:rPr>
                <w:kern w:val="0"/>
              </w:rPr>
            </w:pPr>
            <w:r>
              <w:rPr>
                <w:rFonts w:hint="eastAsia"/>
                <w:kern w:val="0"/>
              </w:rPr>
              <w:t>安全性</w:t>
            </w:r>
          </w:p>
        </w:tc>
        <w:tc>
          <w:tcPr>
            <w:tcW w:w="866" w:type="pct"/>
            <w:vAlign w:val="center"/>
          </w:tcPr>
          <w:p>
            <w:pPr>
              <w:jc w:val="left"/>
              <w:rPr>
                <w:kern w:val="0"/>
              </w:rPr>
            </w:pPr>
            <w:r>
              <w:rPr>
                <w:rFonts w:hint="eastAsia"/>
                <w:kern w:val="0"/>
              </w:rPr>
              <w:t>该指标考核供应商操作是否对业务系统运行产生影响</w:t>
            </w:r>
          </w:p>
        </w:tc>
        <w:tc>
          <w:tcPr>
            <w:tcW w:w="1064" w:type="pct"/>
            <w:vAlign w:val="center"/>
          </w:tcPr>
          <w:p>
            <w:pPr>
              <w:jc w:val="left"/>
              <w:rPr>
                <w:kern w:val="0"/>
              </w:rPr>
            </w:pPr>
            <w:r>
              <w:rPr>
                <w:rFonts w:hint="eastAsia"/>
                <w:kern w:val="0"/>
              </w:rPr>
              <w:t>项目实施过程不应对现有系统产生宕机、正常业务中断等不利情况。</w:t>
            </w:r>
          </w:p>
        </w:tc>
        <w:tc>
          <w:tcPr>
            <w:tcW w:w="262" w:type="pct"/>
            <w:vAlign w:val="center"/>
          </w:tcPr>
          <w:p>
            <w:pPr>
              <w:jc w:val="center"/>
              <w:rPr>
                <w:kern w:val="0"/>
              </w:rPr>
            </w:pPr>
            <w:r>
              <w:rPr>
                <w:rFonts w:hint="eastAsia"/>
                <w:kern w:val="0"/>
              </w:rPr>
              <w:t>20</w:t>
            </w:r>
          </w:p>
        </w:tc>
        <w:tc>
          <w:tcPr>
            <w:tcW w:w="1398" w:type="pct"/>
            <w:vAlign w:val="center"/>
          </w:tcPr>
          <w:p>
            <w:pPr>
              <w:jc w:val="left"/>
              <w:rPr>
                <w:kern w:val="0"/>
              </w:rPr>
            </w:pPr>
            <w:r>
              <w:rPr>
                <w:rFonts w:hint="eastAsia"/>
                <w:kern w:val="0"/>
              </w:rPr>
              <w:t>出现宕机、正常业务中断等不利情况扣3分，本条目扣完为止。</w:t>
            </w:r>
          </w:p>
        </w:tc>
        <w:tc>
          <w:tcPr>
            <w:tcW w:w="262" w:type="pct"/>
            <w:vAlign w:val="center"/>
          </w:tcPr>
          <w:p>
            <w:pPr>
              <w:jc w:val="left"/>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restart"/>
            <w:vAlign w:val="center"/>
          </w:tcPr>
          <w:p>
            <w:pPr>
              <w:jc w:val="center"/>
              <w:rPr>
                <w:kern w:val="0"/>
              </w:rPr>
            </w:pPr>
            <w:r>
              <w:rPr>
                <w:rFonts w:hint="eastAsia"/>
                <w:kern w:val="0"/>
              </w:rPr>
              <w:t>服务管理过程</w:t>
            </w:r>
          </w:p>
        </w:tc>
        <w:tc>
          <w:tcPr>
            <w:tcW w:w="377" w:type="pct"/>
            <w:vMerge w:val="restart"/>
            <w:vAlign w:val="center"/>
          </w:tcPr>
          <w:p>
            <w:pPr>
              <w:jc w:val="center"/>
              <w:rPr>
                <w:kern w:val="0"/>
              </w:rPr>
            </w:pPr>
            <w:r>
              <w:rPr>
                <w:rFonts w:hint="eastAsia"/>
                <w:kern w:val="0"/>
              </w:rPr>
              <w:t>20%</w:t>
            </w:r>
          </w:p>
        </w:tc>
        <w:tc>
          <w:tcPr>
            <w:tcW w:w="383" w:type="pct"/>
            <w:vAlign w:val="center"/>
          </w:tcPr>
          <w:p>
            <w:pPr>
              <w:jc w:val="center"/>
              <w:rPr>
                <w:kern w:val="0"/>
              </w:rPr>
            </w:pPr>
            <w:r>
              <w:rPr>
                <w:rFonts w:hint="eastAsia"/>
                <w:kern w:val="0"/>
              </w:rPr>
              <w:t>项目实施</w:t>
            </w:r>
          </w:p>
        </w:tc>
        <w:tc>
          <w:tcPr>
            <w:tcW w:w="866" w:type="pct"/>
            <w:vAlign w:val="center"/>
          </w:tcPr>
          <w:p>
            <w:pPr>
              <w:jc w:val="left"/>
              <w:rPr>
                <w:kern w:val="0"/>
              </w:rPr>
            </w:pPr>
            <w:r>
              <w:rPr>
                <w:rFonts w:hint="eastAsia"/>
                <w:kern w:val="0"/>
              </w:rPr>
              <w:t>该指标考核供应商服务实施管理过程安排是否合理。</w:t>
            </w:r>
          </w:p>
        </w:tc>
        <w:tc>
          <w:tcPr>
            <w:tcW w:w="1064" w:type="pct"/>
            <w:vAlign w:val="center"/>
          </w:tcPr>
          <w:p>
            <w:pPr>
              <w:jc w:val="left"/>
              <w:rPr>
                <w:kern w:val="0"/>
              </w:rPr>
            </w:pPr>
            <w:r>
              <w:rPr>
                <w:rFonts w:hint="eastAsia"/>
                <w:kern w:val="0"/>
              </w:rPr>
              <w:t>项目实施需要具有详细的实施方案、进度计划和人员安排。</w:t>
            </w:r>
          </w:p>
        </w:tc>
        <w:tc>
          <w:tcPr>
            <w:tcW w:w="262" w:type="pct"/>
            <w:vAlign w:val="center"/>
          </w:tcPr>
          <w:p>
            <w:pPr>
              <w:jc w:val="center"/>
              <w:rPr>
                <w:kern w:val="0"/>
              </w:rPr>
            </w:pPr>
            <w:r>
              <w:rPr>
                <w:rFonts w:hint="eastAsia"/>
                <w:kern w:val="0"/>
              </w:rPr>
              <w:t>6</w:t>
            </w:r>
          </w:p>
        </w:tc>
        <w:tc>
          <w:tcPr>
            <w:tcW w:w="1398" w:type="pct"/>
            <w:vAlign w:val="center"/>
          </w:tcPr>
          <w:p>
            <w:pPr>
              <w:jc w:val="left"/>
              <w:rPr>
                <w:kern w:val="0"/>
              </w:rPr>
            </w:pPr>
            <w:r>
              <w:rPr>
                <w:rFonts w:hint="eastAsia"/>
                <w:kern w:val="0"/>
              </w:rPr>
              <w:t>实施方案缺失或项目进度计划缺失或无项目人员计划则不合格扣3分，本条目扣完为止。</w:t>
            </w:r>
          </w:p>
        </w:tc>
        <w:tc>
          <w:tcPr>
            <w:tcW w:w="262" w:type="pct"/>
            <w:vAlign w:val="center"/>
          </w:tcPr>
          <w:p>
            <w:pPr>
              <w:jc w:val="left"/>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Merge w:val="continue"/>
            <w:vAlign w:val="center"/>
          </w:tcPr>
          <w:p>
            <w:pPr>
              <w:jc w:val="left"/>
              <w:rPr>
                <w:kern w:val="0"/>
              </w:rPr>
            </w:pPr>
          </w:p>
        </w:tc>
        <w:tc>
          <w:tcPr>
            <w:tcW w:w="377" w:type="pct"/>
            <w:vMerge w:val="continue"/>
            <w:vAlign w:val="center"/>
          </w:tcPr>
          <w:p>
            <w:pPr>
              <w:jc w:val="left"/>
              <w:rPr>
                <w:kern w:val="0"/>
              </w:rPr>
            </w:pPr>
          </w:p>
        </w:tc>
        <w:tc>
          <w:tcPr>
            <w:tcW w:w="383" w:type="pct"/>
            <w:vAlign w:val="center"/>
          </w:tcPr>
          <w:p>
            <w:pPr>
              <w:jc w:val="center"/>
              <w:rPr>
                <w:kern w:val="0"/>
              </w:rPr>
            </w:pPr>
            <w:r>
              <w:rPr>
                <w:rFonts w:hint="eastAsia"/>
                <w:kern w:val="0"/>
              </w:rPr>
              <w:t>文档完整性</w:t>
            </w:r>
          </w:p>
        </w:tc>
        <w:tc>
          <w:tcPr>
            <w:tcW w:w="866" w:type="pct"/>
            <w:vAlign w:val="center"/>
          </w:tcPr>
          <w:p>
            <w:pPr>
              <w:jc w:val="left"/>
              <w:rPr>
                <w:kern w:val="0"/>
              </w:rPr>
            </w:pPr>
            <w:r>
              <w:rPr>
                <w:rFonts w:hint="eastAsia"/>
                <w:kern w:val="0"/>
              </w:rPr>
              <w:t>该指标考核供应商日常文档提供的准时性</w:t>
            </w:r>
          </w:p>
        </w:tc>
        <w:tc>
          <w:tcPr>
            <w:tcW w:w="1064" w:type="pct"/>
            <w:vAlign w:val="center"/>
          </w:tcPr>
          <w:p>
            <w:pPr>
              <w:jc w:val="left"/>
              <w:rPr>
                <w:kern w:val="0"/>
              </w:rPr>
            </w:pPr>
            <w:r>
              <w:rPr>
                <w:rFonts w:hint="eastAsia"/>
                <w:kern w:val="0"/>
              </w:rPr>
              <w:t>巡检季报要求按时提交，且质量满意</w:t>
            </w:r>
          </w:p>
        </w:tc>
        <w:tc>
          <w:tcPr>
            <w:tcW w:w="262" w:type="pct"/>
            <w:vAlign w:val="center"/>
          </w:tcPr>
          <w:p>
            <w:pPr>
              <w:jc w:val="center"/>
              <w:rPr>
                <w:kern w:val="0"/>
              </w:rPr>
            </w:pPr>
            <w:r>
              <w:rPr>
                <w:rFonts w:hint="eastAsia"/>
                <w:kern w:val="0"/>
              </w:rPr>
              <w:t>14</w:t>
            </w:r>
          </w:p>
        </w:tc>
        <w:tc>
          <w:tcPr>
            <w:tcW w:w="1398" w:type="pct"/>
            <w:vAlign w:val="center"/>
          </w:tcPr>
          <w:p>
            <w:pPr>
              <w:jc w:val="left"/>
              <w:rPr>
                <w:kern w:val="0"/>
              </w:rPr>
            </w:pPr>
            <w:r>
              <w:rPr>
                <w:rFonts w:hint="eastAsia"/>
                <w:kern w:val="0"/>
              </w:rPr>
              <w:t>出现一次不及时扣2分，内容不全或巡检项目缺如按要求扣2分，本条目扣完为止。</w:t>
            </w:r>
          </w:p>
        </w:tc>
        <w:tc>
          <w:tcPr>
            <w:tcW w:w="262" w:type="pct"/>
            <w:vAlign w:val="center"/>
          </w:tcPr>
          <w:p>
            <w:pPr>
              <w:jc w:val="left"/>
              <w:rPr>
                <w:kern w:val="0"/>
              </w:rPr>
            </w:pPr>
          </w:p>
        </w:tc>
        <w:bookmarkStart w:id="0" w:name="_Toc470898495"/>
        <w:bookmarkStart w:id="1" w:name="_Toc342339408"/>
        <w:bookmarkStart w:id="2" w:name="_Toc470898651"/>
        <w:bookmarkStart w:id="3" w:name="_Toc470898470"/>
        <w:bookmarkStart w:id="4" w:name="_Toc470898489"/>
        <w:bookmarkStart w:id="5" w:name="_Toc470898501"/>
        <w:bookmarkStart w:id="6" w:name="_Toc470898482"/>
        <w:bookmarkStart w:id="7" w:name="_Toc342339425"/>
        <w:bookmarkStart w:id="8" w:name="_Toc470898503"/>
        <w:bookmarkStart w:id="9" w:name="_Toc470898485"/>
        <w:bookmarkStart w:id="10" w:name="_Toc470898468"/>
        <w:bookmarkStart w:id="11" w:name="_Toc470898477"/>
        <w:bookmarkStart w:id="12" w:name="_Toc342339404"/>
        <w:bookmarkStart w:id="13" w:name="_Toc342339427"/>
        <w:bookmarkStart w:id="14" w:name="_Toc470898493"/>
        <w:bookmarkStart w:id="15" w:name="_Toc342339405"/>
        <w:bookmarkStart w:id="16" w:name="_Toc342339428"/>
        <w:bookmarkStart w:id="17" w:name="_Toc342071551"/>
        <w:bookmarkStart w:id="18" w:name="_Toc470898487"/>
        <w:bookmarkStart w:id="19" w:name="_Toc470898481"/>
        <w:bookmarkStart w:id="20" w:name="_Toc342339412"/>
        <w:bookmarkStart w:id="21" w:name="_Toc470898467"/>
        <w:bookmarkStart w:id="22" w:name="_Toc470898494"/>
        <w:bookmarkStart w:id="23" w:name="_Toc470898492"/>
        <w:bookmarkStart w:id="24" w:name="_Toc470898502"/>
        <w:bookmarkStart w:id="25" w:name="_Toc470898469"/>
        <w:bookmarkStart w:id="26" w:name="_Toc470898498"/>
        <w:bookmarkStart w:id="27" w:name="_Toc342339419"/>
        <w:bookmarkStart w:id="28" w:name="_Toc342339329"/>
        <w:bookmarkStart w:id="29" w:name="_Toc470898479"/>
        <w:bookmarkStart w:id="30" w:name="_Toc470898472"/>
        <w:bookmarkStart w:id="31" w:name="_Toc470898478"/>
        <w:bookmarkStart w:id="32" w:name="_Toc342339328"/>
        <w:bookmarkStart w:id="33" w:name="_Toc470898474"/>
        <w:bookmarkStart w:id="34" w:name="_Toc342339426"/>
        <w:bookmarkStart w:id="35" w:name="_Toc342339406"/>
        <w:bookmarkStart w:id="36" w:name="_Toc470898473"/>
        <w:bookmarkStart w:id="37" w:name="_Toc470898499"/>
        <w:bookmarkStart w:id="38" w:name="_Toc342339436"/>
        <w:bookmarkStart w:id="39" w:name="_Toc470898490"/>
        <w:bookmarkStart w:id="40" w:name="_Toc342339407"/>
        <w:bookmarkStart w:id="41" w:name="_Toc342339429"/>
        <w:bookmarkStart w:id="42" w:name="_Toc470898486"/>
        <w:bookmarkStart w:id="43" w:name="_Toc470898497"/>
        <w:bookmarkStart w:id="44" w:name="_Toc470898471"/>
        <w:bookmarkStart w:id="45" w:name="_Toc470898476"/>
        <w:bookmarkStart w:id="46" w:name="_Toc470898652"/>
        <w:bookmarkStart w:id="47" w:name="_Toc470898484"/>
        <w:bookmarkStart w:id="48" w:name="_Toc342339430"/>
        <w:bookmarkStart w:id="49" w:name="_Toc470898500"/>
        <w:bookmarkStart w:id="50" w:name="_Toc470898496"/>
        <w:bookmarkStart w:id="51" w:name="_Toc342339431"/>
        <w:bookmarkStart w:id="52" w:name="_Toc470898510"/>
        <w:bookmarkStart w:id="53" w:name="_Toc470898483"/>
        <w:bookmarkStart w:id="54" w:name="_Toc470898480"/>
        <w:bookmarkStart w:id="55" w:name="_Toc342339435"/>
        <w:bookmarkStart w:id="56" w:name="_Toc342339410"/>
        <w:bookmarkStart w:id="57" w:name="_Toc470898423"/>
        <w:bookmarkStart w:id="58" w:name="_Toc470898466"/>
        <w:bookmarkStart w:id="59" w:name="_Toc470898504"/>
        <w:bookmarkStart w:id="60" w:name="_Toc470898465"/>
        <w:bookmarkStart w:id="61" w:name="_Toc342339432"/>
        <w:bookmarkStart w:id="62" w:name="_Toc470898424"/>
        <w:bookmarkStart w:id="63" w:name="_Toc470898488"/>
        <w:bookmarkStart w:id="64" w:name="_Toc470898491"/>
        <w:bookmarkStart w:id="65" w:name="_Toc470898650"/>
        <w:bookmarkStart w:id="66" w:name="_Toc470898475"/>
        <w:bookmarkStart w:id="67" w:name="_Toc342339409"/>
        <w:bookmarkStart w:id="68" w:name="_Toc342339411"/>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tbl>
    <w:p>
      <w:pPr>
        <w:snapToGrid w:val="0"/>
        <w:spacing w:line="360" w:lineRule="auto"/>
        <w:ind w:firstLine="480" w:firstLineChars="200"/>
        <w:rPr>
          <w:rFonts w:ascii="宋体" w:hAnsi="宋体"/>
          <w:bCs/>
          <w:sz w:val="24"/>
        </w:rPr>
      </w:pPr>
      <w:r>
        <w:rPr>
          <w:rFonts w:hint="eastAsia" w:ascii="宋体" w:hAnsi="宋体"/>
          <w:bCs/>
          <w:sz w:val="24"/>
        </w:rPr>
        <w:t>年度考核结果直接与服务合同付款金额挂钩，考核采取百分制，划分为 A、B、C、D、E五个等级，以考核评定为准。各个等级对应分数及支付比例情况如下：</w:t>
      </w:r>
    </w:p>
    <w:p>
      <w:pPr>
        <w:pStyle w:val="44"/>
        <w:spacing w:line="240" w:lineRule="exact"/>
        <w:rPr>
          <w:b/>
          <w:bCs/>
        </w:rPr>
      </w:pPr>
      <w:r>
        <w:rPr>
          <w:rFonts w:hint="eastAsia"/>
          <w:b/>
          <w:bCs/>
        </w:rPr>
        <w:t>表3 等级对应表</w:t>
      </w:r>
    </w:p>
    <w:tbl>
      <w:tblPr>
        <w:tblStyle w:val="17"/>
        <w:tblW w:w="9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5"/>
        <w:gridCol w:w="3681"/>
        <w:gridCol w:w="3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85" w:type="dxa"/>
            <w:vAlign w:val="center"/>
          </w:tcPr>
          <w:p>
            <w:pPr>
              <w:jc w:val="center"/>
              <w:rPr>
                <w:b/>
                <w:bCs/>
                <w:kern w:val="0"/>
              </w:rPr>
            </w:pPr>
            <w:r>
              <w:rPr>
                <w:rFonts w:hint="eastAsia"/>
                <w:b/>
                <w:bCs/>
                <w:kern w:val="0"/>
              </w:rPr>
              <w:t>等级</w:t>
            </w:r>
          </w:p>
        </w:tc>
        <w:tc>
          <w:tcPr>
            <w:tcW w:w="3681" w:type="dxa"/>
            <w:vAlign w:val="center"/>
          </w:tcPr>
          <w:p>
            <w:pPr>
              <w:jc w:val="center"/>
              <w:rPr>
                <w:b/>
                <w:bCs/>
                <w:kern w:val="0"/>
              </w:rPr>
            </w:pPr>
            <w:r>
              <w:rPr>
                <w:rFonts w:hint="eastAsia"/>
                <w:b/>
                <w:bCs/>
                <w:kern w:val="0"/>
              </w:rPr>
              <w:t>最终考核分数（N）</w:t>
            </w:r>
          </w:p>
        </w:tc>
        <w:tc>
          <w:tcPr>
            <w:tcW w:w="3421" w:type="dxa"/>
            <w:vAlign w:val="center"/>
          </w:tcPr>
          <w:p>
            <w:pPr>
              <w:jc w:val="center"/>
              <w:rPr>
                <w:b/>
                <w:bCs/>
                <w:kern w:val="0"/>
              </w:rPr>
            </w:pPr>
            <w:r>
              <w:rPr>
                <w:rFonts w:hint="eastAsia"/>
                <w:b/>
                <w:bCs/>
                <w:kern w:val="0"/>
              </w:rPr>
              <w:t>支付金额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85" w:type="dxa"/>
            <w:vAlign w:val="center"/>
          </w:tcPr>
          <w:p>
            <w:pPr>
              <w:jc w:val="center"/>
              <w:rPr>
                <w:kern w:val="0"/>
              </w:rPr>
            </w:pPr>
            <w:r>
              <w:rPr>
                <w:rFonts w:hint="eastAsia"/>
                <w:kern w:val="0"/>
              </w:rPr>
              <w:t>A</w:t>
            </w:r>
          </w:p>
        </w:tc>
        <w:tc>
          <w:tcPr>
            <w:tcW w:w="3681" w:type="dxa"/>
            <w:vAlign w:val="center"/>
          </w:tcPr>
          <w:p>
            <w:pPr>
              <w:jc w:val="center"/>
              <w:rPr>
                <w:kern w:val="0"/>
              </w:rPr>
            </w:pPr>
            <w:r>
              <w:rPr>
                <w:rFonts w:hint="eastAsia"/>
                <w:kern w:val="0"/>
              </w:rPr>
              <w:t>90≤N≤100</w:t>
            </w:r>
          </w:p>
        </w:tc>
        <w:tc>
          <w:tcPr>
            <w:tcW w:w="3421" w:type="dxa"/>
            <w:vAlign w:val="center"/>
          </w:tcPr>
          <w:p>
            <w:pPr>
              <w:jc w:val="center"/>
              <w:rPr>
                <w:kern w:val="0"/>
              </w:rPr>
            </w:pPr>
            <w:r>
              <w:rPr>
                <w:rFonts w:hint="eastAsia"/>
                <w:kern w:val="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85" w:type="dxa"/>
            <w:vAlign w:val="center"/>
          </w:tcPr>
          <w:p>
            <w:pPr>
              <w:jc w:val="center"/>
              <w:rPr>
                <w:kern w:val="0"/>
              </w:rPr>
            </w:pPr>
            <w:r>
              <w:rPr>
                <w:rFonts w:hint="eastAsia"/>
                <w:kern w:val="0"/>
              </w:rPr>
              <w:t>B</w:t>
            </w:r>
          </w:p>
        </w:tc>
        <w:tc>
          <w:tcPr>
            <w:tcW w:w="3681" w:type="dxa"/>
            <w:vAlign w:val="center"/>
          </w:tcPr>
          <w:p>
            <w:pPr>
              <w:jc w:val="center"/>
              <w:rPr>
                <w:kern w:val="0"/>
              </w:rPr>
            </w:pPr>
            <w:r>
              <w:rPr>
                <w:rFonts w:hint="eastAsia"/>
                <w:kern w:val="0"/>
              </w:rPr>
              <w:t>80≤N＜90</w:t>
            </w:r>
          </w:p>
        </w:tc>
        <w:tc>
          <w:tcPr>
            <w:tcW w:w="3421" w:type="dxa"/>
            <w:vAlign w:val="center"/>
          </w:tcPr>
          <w:p>
            <w:pPr>
              <w:jc w:val="center"/>
              <w:rPr>
                <w:kern w:val="0"/>
              </w:rPr>
            </w:pPr>
            <w:r>
              <w:rPr>
                <w:rFonts w:hint="eastAsia"/>
                <w:kern w:val="0"/>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85" w:type="dxa"/>
            <w:vAlign w:val="center"/>
          </w:tcPr>
          <w:p>
            <w:pPr>
              <w:jc w:val="center"/>
              <w:rPr>
                <w:kern w:val="0"/>
              </w:rPr>
            </w:pPr>
            <w:r>
              <w:rPr>
                <w:rFonts w:hint="eastAsia"/>
                <w:kern w:val="0"/>
              </w:rPr>
              <w:t>C</w:t>
            </w:r>
          </w:p>
        </w:tc>
        <w:tc>
          <w:tcPr>
            <w:tcW w:w="3681" w:type="dxa"/>
            <w:vAlign w:val="center"/>
          </w:tcPr>
          <w:p>
            <w:pPr>
              <w:jc w:val="center"/>
              <w:rPr>
                <w:kern w:val="0"/>
              </w:rPr>
            </w:pPr>
            <w:r>
              <w:rPr>
                <w:rFonts w:hint="eastAsia"/>
                <w:kern w:val="0"/>
              </w:rPr>
              <w:t>70≤N＜80</w:t>
            </w:r>
          </w:p>
        </w:tc>
        <w:tc>
          <w:tcPr>
            <w:tcW w:w="3421" w:type="dxa"/>
            <w:vAlign w:val="center"/>
          </w:tcPr>
          <w:p>
            <w:pPr>
              <w:jc w:val="center"/>
              <w:rPr>
                <w:kern w:val="0"/>
              </w:rPr>
            </w:pPr>
            <w:r>
              <w:rPr>
                <w:rFonts w:hint="eastAsia"/>
                <w:kern w:val="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085" w:type="dxa"/>
            <w:vAlign w:val="center"/>
          </w:tcPr>
          <w:p>
            <w:pPr>
              <w:jc w:val="center"/>
              <w:rPr>
                <w:kern w:val="0"/>
              </w:rPr>
            </w:pPr>
            <w:r>
              <w:rPr>
                <w:rFonts w:hint="eastAsia"/>
                <w:kern w:val="0"/>
              </w:rPr>
              <w:t>D</w:t>
            </w:r>
          </w:p>
        </w:tc>
        <w:tc>
          <w:tcPr>
            <w:tcW w:w="3681" w:type="dxa"/>
            <w:vAlign w:val="center"/>
          </w:tcPr>
          <w:p>
            <w:pPr>
              <w:jc w:val="center"/>
              <w:rPr>
                <w:kern w:val="0"/>
              </w:rPr>
            </w:pPr>
            <w:r>
              <w:rPr>
                <w:rFonts w:hint="eastAsia"/>
                <w:kern w:val="0"/>
              </w:rPr>
              <w:t>60≤N＜70</w:t>
            </w:r>
          </w:p>
        </w:tc>
        <w:tc>
          <w:tcPr>
            <w:tcW w:w="3421" w:type="dxa"/>
            <w:vAlign w:val="center"/>
          </w:tcPr>
          <w:p>
            <w:pPr>
              <w:jc w:val="center"/>
              <w:rPr>
                <w:kern w:val="0"/>
              </w:rPr>
            </w:pPr>
            <w:r>
              <w:rPr>
                <w:rFonts w:hint="eastAsia"/>
                <w:kern w:val="0"/>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2085" w:type="dxa"/>
            <w:vAlign w:val="center"/>
          </w:tcPr>
          <w:p>
            <w:pPr>
              <w:jc w:val="center"/>
              <w:rPr>
                <w:kern w:val="0"/>
              </w:rPr>
            </w:pPr>
            <w:r>
              <w:rPr>
                <w:rFonts w:hint="eastAsia"/>
                <w:kern w:val="0"/>
              </w:rPr>
              <w:t>E</w:t>
            </w:r>
          </w:p>
        </w:tc>
        <w:tc>
          <w:tcPr>
            <w:tcW w:w="3681" w:type="dxa"/>
            <w:vAlign w:val="center"/>
          </w:tcPr>
          <w:p>
            <w:pPr>
              <w:jc w:val="center"/>
              <w:rPr>
                <w:kern w:val="0"/>
              </w:rPr>
            </w:pPr>
            <w:r>
              <w:rPr>
                <w:rFonts w:hint="eastAsia"/>
                <w:kern w:val="0"/>
              </w:rPr>
              <w:t>N＜60</w:t>
            </w:r>
          </w:p>
        </w:tc>
        <w:tc>
          <w:tcPr>
            <w:tcW w:w="3421" w:type="dxa"/>
            <w:vAlign w:val="center"/>
          </w:tcPr>
          <w:p>
            <w:pPr>
              <w:jc w:val="center"/>
              <w:rPr>
                <w:kern w:val="0"/>
              </w:rPr>
            </w:pPr>
            <w:r>
              <w:rPr>
                <w:rFonts w:hint="eastAsia"/>
                <w:kern w:val="0"/>
              </w:rPr>
              <w:t>运维费尾款不予支付，同时采购人有权终止该服务合同</w:t>
            </w:r>
          </w:p>
        </w:tc>
      </w:tr>
    </w:tbl>
    <w:p>
      <w:pPr>
        <w:spacing w:line="480" w:lineRule="exact"/>
        <w:jc w:val="left"/>
        <w:rPr>
          <w:rFonts w:ascii="宋体" w:hAnsi="宋体"/>
          <w:kern w:val="0"/>
          <w:sz w:val="24"/>
          <w:u w:val="single"/>
        </w:rPr>
      </w:pPr>
      <w:r>
        <w:rPr>
          <w:rFonts w:hint="eastAsia" w:ascii="宋体" w:hAnsi="宋体"/>
          <w:kern w:val="0"/>
          <w:sz w:val="24"/>
        </w:rPr>
        <w:t>五、付款方式</w:t>
      </w:r>
    </w:p>
    <w:p>
      <w:pPr>
        <w:tabs>
          <w:tab w:val="left" w:pos="709"/>
          <w:tab w:val="left" w:pos="993"/>
          <w:tab w:val="left" w:pos="1418"/>
        </w:tabs>
        <w:spacing w:line="360" w:lineRule="auto"/>
        <w:ind w:firstLine="360" w:firstLineChars="150"/>
        <w:rPr>
          <w:rFonts w:ascii="宋体" w:hAnsi="宋体"/>
          <w:bCs/>
          <w:sz w:val="24"/>
        </w:rPr>
      </w:pPr>
      <w:r>
        <w:rPr>
          <w:rFonts w:hint="eastAsia" w:ascii="宋体" w:hAnsi="宋体"/>
          <w:bCs/>
          <w:sz w:val="24"/>
        </w:rPr>
        <w:t>付款方式及说明：合同签订生效后支付50%；服务期结束后支付50%。</w:t>
      </w:r>
    </w:p>
    <w:p>
      <w:pPr>
        <w:tabs>
          <w:tab w:val="left" w:pos="709"/>
          <w:tab w:val="left" w:pos="993"/>
          <w:tab w:val="left" w:pos="1418"/>
        </w:tabs>
        <w:spacing w:line="360" w:lineRule="auto"/>
        <w:rPr>
          <w:rFonts w:ascii="宋体" w:hAnsi="宋体"/>
          <w:kern w:val="0"/>
          <w:sz w:val="24"/>
        </w:rPr>
      </w:pPr>
      <w:r>
        <w:rPr>
          <w:rFonts w:hint="eastAsia" w:ascii="宋体" w:hAnsi="宋体"/>
          <w:kern w:val="0"/>
          <w:sz w:val="24"/>
        </w:rPr>
        <w:t>六、评分标准建议</w:t>
      </w:r>
    </w:p>
    <w:p>
      <w:pPr>
        <w:pStyle w:val="42"/>
        <w:numPr>
          <w:ilvl w:val="0"/>
          <w:numId w:val="3"/>
        </w:numPr>
        <w:tabs>
          <w:tab w:val="left" w:pos="510"/>
          <w:tab w:val="left" w:pos="945"/>
          <w:tab w:val="left" w:pos="1155"/>
          <w:tab w:val="left" w:pos="2250"/>
          <w:tab w:val="left" w:pos="3823"/>
        </w:tabs>
        <w:spacing w:line="360" w:lineRule="auto"/>
        <w:ind w:hanging="834" w:firstLineChars="0"/>
        <w:rPr>
          <w:rFonts w:ascii="宋体" w:hAnsi="宋体"/>
          <w:b/>
          <w:bCs/>
          <w:sz w:val="24"/>
        </w:rPr>
      </w:pPr>
      <w:r>
        <w:rPr>
          <w:rFonts w:hint="eastAsia" w:ascii="宋体" w:hAnsi="宋体"/>
          <w:b/>
          <w:bCs/>
          <w:sz w:val="24"/>
        </w:rPr>
        <w:t>价格（</w:t>
      </w:r>
      <w:r>
        <w:rPr>
          <w:rFonts w:ascii="宋体" w:hAnsi="宋体"/>
          <w:b/>
          <w:bCs/>
          <w:sz w:val="24"/>
        </w:rPr>
        <w:t>30</w:t>
      </w:r>
      <w:r>
        <w:rPr>
          <w:rFonts w:hint="eastAsia" w:ascii="宋体" w:hAnsi="宋体"/>
          <w:b/>
          <w:bCs/>
          <w:sz w:val="24"/>
        </w:rPr>
        <w:t>分）：</w:t>
      </w:r>
    </w:p>
    <w:p>
      <w:pPr>
        <w:tabs>
          <w:tab w:val="left" w:pos="945"/>
          <w:tab w:val="left" w:pos="1155"/>
        </w:tabs>
        <w:spacing w:line="360" w:lineRule="auto"/>
        <w:ind w:firstLine="566" w:firstLineChars="236"/>
        <w:rPr>
          <w:rFonts w:ascii="宋体"/>
          <w:bCs/>
          <w:sz w:val="24"/>
        </w:rPr>
      </w:pPr>
      <w:r>
        <w:rPr>
          <w:rFonts w:hint="eastAsia" w:ascii="宋体" w:hAnsi="宋体"/>
          <w:bCs/>
          <w:sz w:val="24"/>
        </w:rPr>
        <w:t>采用低价优先法计算，即满足招标文件要求且投标价格最低的投标报价为评标基准价，其价格分为满分。其他投标人的价格分统一按照下列公式计算：</w:t>
      </w:r>
    </w:p>
    <w:p>
      <w:pPr>
        <w:tabs>
          <w:tab w:val="left" w:pos="945"/>
          <w:tab w:val="left" w:pos="1155"/>
        </w:tabs>
        <w:spacing w:line="360" w:lineRule="auto"/>
        <w:ind w:firstLine="566" w:firstLineChars="236"/>
        <w:rPr>
          <w:rFonts w:ascii="宋体"/>
          <w:bCs/>
          <w:sz w:val="24"/>
        </w:rPr>
      </w:pPr>
      <w:r>
        <w:rPr>
          <w:rFonts w:hint="eastAsia" w:ascii="宋体" w:hAnsi="宋体"/>
          <w:bCs/>
          <w:sz w:val="24"/>
        </w:rPr>
        <w:t>投标报价得分</w:t>
      </w:r>
      <w:r>
        <w:rPr>
          <w:rFonts w:ascii="宋体" w:hAnsi="宋体"/>
          <w:bCs/>
          <w:sz w:val="24"/>
        </w:rPr>
        <w:t>=(</w:t>
      </w:r>
      <w:r>
        <w:rPr>
          <w:rFonts w:hint="eastAsia" w:ascii="宋体" w:hAnsi="宋体"/>
          <w:bCs/>
          <w:sz w:val="24"/>
        </w:rPr>
        <w:t>评标基准价／投标报价</w:t>
      </w:r>
      <w:r>
        <w:rPr>
          <w:rFonts w:ascii="宋体" w:hAnsi="宋体"/>
          <w:bCs/>
          <w:sz w:val="24"/>
        </w:rPr>
        <w:t>)</w:t>
      </w:r>
      <w:r>
        <w:rPr>
          <w:rFonts w:hint="eastAsia" w:ascii="宋体" w:hAnsi="宋体"/>
          <w:bCs/>
          <w:sz w:val="24"/>
        </w:rPr>
        <w:t>×价格权值（0.3）×</w:t>
      </w:r>
      <w:r>
        <w:rPr>
          <w:rFonts w:ascii="宋体" w:hAnsi="宋体"/>
          <w:bCs/>
          <w:sz w:val="24"/>
        </w:rPr>
        <w:t>100</w:t>
      </w:r>
      <w:r>
        <w:rPr>
          <w:rFonts w:hint="eastAsia" w:ascii="宋体" w:hAnsi="宋体"/>
          <w:bCs/>
          <w:sz w:val="24"/>
        </w:rPr>
        <w:t>。</w:t>
      </w:r>
    </w:p>
    <w:p>
      <w:pPr>
        <w:pStyle w:val="42"/>
        <w:numPr>
          <w:ilvl w:val="0"/>
          <w:numId w:val="3"/>
        </w:numPr>
        <w:tabs>
          <w:tab w:val="left" w:pos="525"/>
          <w:tab w:val="left" w:pos="945"/>
          <w:tab w:val="left" w:pos="1155"/>
          <w:tab w:val="left" w:pos="2250"/>
          <w:tab w:val="left" w:pos="3823"/>
        </w:tabs>
        <w:spacing w:line="360" w:lineRule="auto"/>
        <w:ind w:hanging="834" w:firstLineChars="0"/>
        <w:rPr>
          <w:rFonts w:ascii="宋体" w:hAnsi="宋体"/>
          <w:b/>
          <w:bCs/>
          <w:sz w:val="24"/>
        </w:rPr>
      </w:pPr>
      <w:r>
        <w:rPr>
          <w:rFonts w:hint="eastAsia" w:ascii="宋体" w:hAnsi="宋体"/>
          <w:b/>
          <w:bCs/>
          <w:sz w:val="24"/>
        </w:rPr>
        <w:t>投标人综合情况（</w:t>
      </w:r>
      <w:r>
        <w:rPr>
          <w:rFonts w:ascii="宋体" w:hAnsi="宋体"/>
          <w:b/>
          <w:bCs/>
          <w:sz w:val="24"/>
        </w:rPr>
        <w:t>1</w:t>
      </w:r>
      <w:r>
        <w:rPr>
          <w:rFonts w:hint="eastAsia" w:ascii="宋体" w:hAnsi="宋体"/>
          <w:b/>
          <w:bCs/>
          <w:sz w:val="24"/>
        </w:rPr>
        <w:t>4分）：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1、业绩（3分）：投标人提供自202</w:t>
      </w:r>
      <w:r>
        <w:rPr>
          <w:rFonts w:hint="eastAsia" w:ascii="宋体" w:hAnsi="宋体"/>
          <w:bCs/>
          <w:sz w:val="24"/>
          <w:lang w:val="en-US" w:eastAsia="zh-CN"/>
        </w:rPr>
        <w:t>3</w:t>
      </w:r>
      <w:r>
        <w:rPr>
          <w:rFonts w:hint="eastAsia" w:ascii="宋体" w:hAnsi="宋体"/>
          <w:bCs/>
          <w:sz w:val="24"/>
        </w:rPr>
        <w:t>年1月1日起同类硬件维保项目（须包含服务器、磁盘阵列、安全设备或虚拟化平台等内容）案例，每提供一份证明材料（提供合同复印件）得1分，满分3分。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2、资质能力（8分）：（须提供证书复印件，否则不得分）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①提供有效期内信息安全管理体系认证证书、信息技术服务管理认证证书、质量管理体系认证证书、环境管理体系认证证书，每提供一项得1分，最多4分。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②具有信息安全风险评估服务资质认证三级</w:t>
      </w:r>
      <w:r>
        <w:rPr>
          <w:rFonts w:hint="eastAsia" w:ascii="宋体" w:hAnsi="宋体"/>
          <w:bCs/>
          <w:sz w:val="24"/>
          <w:lang w:val="en-US" w:eastAsia="zh-CN"/>
        </w:rPr>
        <w:t>及以上</w:t>
      </w:r>
      <w:r>
        <w:rPr>
          <w:rFonts w:hint="eastAsia" w:ascii="宋体" w:hAnsi="宋体"/>
          <w:bCs/>
          <w:sz w:val="24"/>
        </w:rPr>
        <w:t>资质得2分。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③具有信息技术服务运行维护（ITSS）二级及以上资质得2分。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3、本地化服务(3分)：本地投标人不需提供资料。投标人不在本地的，需承诺中标后将在本地设立常驻售后服务机构并派驻本地服务人员，并提供本地办公场所及社保相关证明复印件，得3分。</w:t>
      </w:r>
    </w:p>
    <w:p>
      <w:pPr>
        <w:pStyle w:val="42"/>
        <w:numPr>
          <w:ilvl w:val="0"/>
          <w:numId w:val="3"/>
        </w:numPr>
        <w:tabs>
          <w:tab w:val="left" w:pos="525"/>
          <w:tab w:val="left" w:pos="945"/>
          <w:tab w:val="left" w:pos="1155"/>
          <w:tab w:val="left" w:pos="2250"/>
          <w:tab w:val="left" w:pos="3823"/>
        </w:tabs>
        <w:spacing w:line="360" w:lineRule="auto"/>
        <w:ind w:hanging="834" w:firstLineChars="0"/>
        <w:rPr>
          <w:rFonts w:ascii="宋体" w:hAnsi="宋体"/>
          <w:b/>
          <w:bCs/>
          <w:sz w:val="24"/>
        </w:rPr>
      </w:pPr>
      <w:r>
        <w:rPr>
          <w:rFonts w:hint="eastAsia" w:ascii="宋体" w:hAnsi="宋体"/>
          <w:b/>
          <w:bCs/>
          <w:sz w:val="24"/>
        </w:rPr>
        <w:t>项目实施团队配置（1</w:t>
      </w:r>
      <w:r>
        <w:rPr>
          <w:rFonts w:hint="eastAsia" w:ascii="宋体" w:hAnsi="宋体"/>
          <w:b/>
          <w:bCs/>
          <w:sz w:val="24"/>
          <w:lang w:val="en-US" w:eastAsia="zh-CN"/>
        </w:rPr>
        <w:t>0</w:t>
      </w:r>
      <w:r>
        <w:rPr>
          <w:rFonts w:hint="eastAsia" w:ascii="宋体" w:hAnsi="宋体"/>
          <w:b/>
          <w:bCs/>
          <w:sz w:val="24"/>
        </w:rPr>
        <w:t>分）：</w:t>
      </w:r>
    </w:p>
    <w:p>
      <w:pPr>
        <w:tabs>
          <w:tab w:val="left" w:pos="945"/>
          <w:tab w:val="left" w:pos="1155"/>
        </w:tabs>
        <w:spacing w:line="360" w:lineRule="auto"/>
        <w:ind w:firstLine="566" w:firstLineChars="236"/>
        <w:rPr>
          <w:rFonts w:hint="eastAsia" w:ascii="宋体" w:hAnsi="宋体"/>
          <w:bCs/>
          <w:sz w:val="24"/>
        </w:rPr>
      </w:pPr>
      <w:r>
        <w:rPr>
          <w:rFonts w:hint="eastAsia" w:cs="宋体" w:asciiTheme="minorEastAsia" w:hAnsiTheme="minorEastAsia"/>
          <w:kern w:val="0"/>
          <w:sz w:val="24"/>
        </w:rPr>
        <w:t>投标时须提供以</w:t>
      </w:r>
      <w:r>
        <w:rPr>
          <w:rFonts w:hint="eastAsia" w:cs="宋体" w:asciiTheme="minorEastAsia" w:hAnsiTheme="minorEastAsia"/>
          <w:color w:val="000000" w:themeColor="text1"/>
          <w:kern w:val="0"/>
          <w:sz w:val="24"/>
          <w14:textFill>
            <w14:solidFill>
              <w14:schemeClr w14:val="tx1"/>
            </w14:solidFill>
          </w14:textFill>
        </w:rPr>
        <w:t>下</w:t>
      </w:r>
      <w:r>
        <w:rPr>
          <w:rFonts w:hint="eastAsia" w:cs="宋体" w:asciiTheme="minorEastAsia" w:hAnsiTheme="minorEastAsia"/>
          <w:kern w:val="0"/>
          <w:sz w:val="24"/>
        </w:rPr>
        <w:t>相关人员证书和投标人连续三个月（至少包含近三个月中任意一个月份，不含投标当月）为其缴纳社保的证明复印件，否则不得分。（须提供证书复印</w:t>
      </w:r>
      <w:r>
        <w:rPr>
          <w:rFonts w:hint="eastAsia" w:ascii="宋体" w:hAnsi="宋体"/>
          <w:bCs/>
          <w:sz w:val="24"/>
        </w:rPr>
        <w:t>件，否则不得分）</w:t>
      </w:r>
    </w:p>
    <w:p>
      <w:pPr>
        <w:tabs>
          <w:tab w:val="left" w:pos="945"/>
          <w:tab w:val="left" w:pos="1155"/>
        </w:tabs>
        <w:spacing w:line="360" w:lineRule="auto"/>
        <w:ind w:firstLine="566" w:firstLineChars="236"/>
        <w:rPr>
          <w:rFonts w:hint="eastAsia" w:ascii="宋体" w:hAnsi="宋体"/>
          <w:bCs/>
          <w:sz w:val="24"/>
          <w:lang w:val="en-US" w:eastAsia="zh-CN"/>
        </w:rPr>
      </w:pPr>
      <w:r>
        <w:rPr>
          <w:rFonts w:hint="eastAsia" w:ascii="宋体" w:hAnsi="宋体"/>
          <w:bCs/>
          <w:sz w:val="24"/>
        </w:rPr>
        <w:t>1、项目组经理（4分</w:t>
      </w:r>
      <w:r>
        <w:rPr>
          <w:rFonts w:hint="eastAsia" w:ascii="宋体" w:hAnsi="宋体"/>
          <w:bCs/>
          <w:sz w:val="24"/>
          <w:lang w:val="en-US" w:eastAsia="zh-CN"/>
        </w:rPr>
        <w:t>）：具有信息系统项目管理师（高级）证书得2分、信息安全保障人员认证证书（安全运维）的得2分，满分4分。</w:t>
      </w:r>
    </w:p>
    <w:p>
      <w:pPr>
        <w:tabs>
          <w:tab w:val="left" w:pos="945"/>
          <w:tab w:val="left" w:pos="1155"/>
        </w:tabs>
        <w:spacing w:line="360" w:lineRule="auto"/>
        <w:ind w:firstLine="420"/>
        <w:rPr>
          <w:rStyle w:val="20"/>
          <w:highlight w:val="none"/>
        </w:rPr>
      </w:pPr>
      <w:r>
        <w:rPr>
          <w:rFonts w:hint="eastAsia" w:ascii="宋体" w:hAnsi="宋体"/>
          <w:bCs/>
          <w:sz w:val="24"/>
          <w:highlight w:val="none"/>
        </w:rPr>
        <w:t>2、项目组成员（不含项目经理）（</w:t>
      </w:r>
      <w:r>
        <w:rPr>
          <w:rFonts w:hint="eastAsia" w:ascii="宋体" w:hAnsi="宋体"/>
          <w:bCs/>
          <w:sz w:val="24"/>
          <w:highlight w:val="none"/>
          <w:lang w:val="en-US" w:eastAsia="zh-CN"/>
        </w:rPr>
        <w:t>6</w:t>
      </w:r>
      <w:r>
        <w:rPr>
          <w:rFonts w:hint="eastAsia" w:ascii="宋体" w:hAnsi="宋体"/>
          <w:bCs/>
          <w:sz w:val="24"/>
          <w:highlight w:val="none"/>
        </w:rPr>
        <w:t>分）：具有</w:t>
      </w:r>
      <w:r>
        <w:rPr>
          <w:rFonts w:hint="eastAsia" w:ascii="宋体" w:hAnsi="宋体" w:eastAsia="宋体" w:cs="宋体"/>
          <w:i w:val="0"/>
          <w:iCs w:val="0"/>
          <w:color w:val="000000"/>
          <w:kern w:val="0"/>
          <w:sz w:val="24"/>
          <w:szCs w:val="24"/>
          <w:highlight w:val="none"/>
          <w:u w:val="none"/>
          <w:lang w:val="en-US" w:eastAsia="zh-CN"/>
        </w:rPr>
        <w:t>主流网络产品厂家高级网络认证工程师、主流存储厂家高级存储认证工程师、信息安全保障人员认证证书（风险管理）。</w:t>
      </w:r>
      <w:r>
        <w:rPr>
          <w:rFonts w:hint="eastAsia" w:ascii="宋体" w:hAnsi="宋体"/>
          <w:bCs/>
          <w:sz w:val="24"/>
          <w:highlight w:val="none"/>
        </w:rPr>
        <w:t>每一个得</w:t>
      </w:r>
      <w:r>
        <w:rPr>
          <w:rFonts w:hint="eastAsia" w:ascii="宋体" w:hAnsi="宋体"/>
          <w:bCs/>
          <w:sz w:val="24"/>
          <w:highlight w:val="none"/>
          <w:lang w:val="en-US" w:eastAsia="zh-CN"/>
        </w:rPr>
        <w:t>2</w:t>
      </w:r>
      <w:r>
        <w:rPr>
          <w:rFonts w:hint="eastAsia" w:ascii="宋体" w:hAnsi="宋体"/>
          <w:bCs/>
          <w:sz w:val="24"/>
          <w:highlight w:val="none"/>
        </w:rPr>
        <w:t>分，满分</w:t>
      </w:r>
      <w:r>
        <w:rPr>
          <w:rFonts w:hint="eastAsia" w:ascii="宋体" w:hAnsi="宋体"/>
          <w:bCs/>
          <w:sz w:val="24"/>
          <w:highlight w:val="none"/>
          <w:lang w:val="en-US" w:eastAsia="zh-CN"/>
        </w:rPr>
        <w:t>6</w:t>
      </w:r>
      <w:r>
        <w:rPr>
          <w:rFonts w:hint="eastAsia" w:ascii="宋体" w:hAnsi="宋体"/>
          <w:bCs/>
          <w:sz w:val="24"/>
          <w:highlight w:val="none"/>
        </w:rPr>
        <w:t>分。（同一证件最多提供一个，重复提供不累计得分）。</w:t>
      </w:r>
    </w:p>
    <w:p>
      <w:pPr>
        <w:pStyle w:val="42"/>
        <w:numPr>
          <w:ilvl w:val="0"/>
          <w:numId w:val="3"/>
        </w:numPr>
        <w:tabs>
          <w:tab w:val="left" w:pos="525"/>
          <w:tab w:val="left" w:pos="945"/>
          <w:tab w:val="left" w:pos="1155"/>
          <w:tab w:val="left" w:pos="2250"/>
          <w:tab w:val="left" w:pos="3823"/>
        </w:tabs>
        <w:spacing w:line="360" w:lineRule="auto"/>
        <w:ind w:hanging="834" w:firstLineChars="0"/>
        <w:rPr>
          <w:rFonts w:ascii="宋体" w:hAnsi="宋体"/>
          <w:b/>
          <w:bCs/>
          <w:sz w:val="24"/>
          <w:highlight w:val="none"/>
        </w:rPr>
      </w:pPr>
      <w:r>
        <w:rPr>
          <w:rFonts w:hint="eastAsia" w:ascii="宋体" w:hAnsi="宋体"/>
          <w:b/>
          <w:bCs/>
          <w:sz w:val="24"/>
          <w:highlight w:val="none"/>
        </w:rPr>
        <w:t>技术保障与质量（</w:t>
      </w:r>
      <w:r>
        <w:rPr>
          <w:rFonts w:hint="eastAsia" w:ascii="宋体" w:hAnsi="宋体"/>
          <w:b/>
          <w:bCs/>
          <w:sz w:val="24"/>
          <w:highlight w:val="none"/>
          <w:lang w:val="en-US" w:eastAsia="zh-CN"/>
        </w:rPr>
        <w:t>6</w:t>
      </w:r>
      <w:r>
        <w:rPr>
          <w:rFonts w:hint="eastAsia" w:ascii="宋体" w:hAnsi="宋体"/>
          <w:b/>
          <w:bCs/>
          <w:sz w:val="24"/>
          <w:highlight w:val="none"/>
        </w:rPr>
        <w:t>分）：</w:t>
      </w:r>
      <w:r>
        <w:rPr>
          <w:rFonts w:hint="eastAsia" w:ascii="宋体" w:hAnsi="宋体"/>
          <w:bCs/>
          <w:sz w:val="24"/>
          <w:highlight w:val="none"/>
        </w:rPr>
        <w:t>（无承诺函或承诺函不符合要求的不得分）</w:t>
      </w:r>
    </w:p>
    <w:p>
      <w:pPr>
        <w:numPr>
          <w:ilvl w:val="0"/>
          <w:numId w:val="4"/>
        </w:numPr>
        <w:tabs>
          <w:tab w:val="left" w:pos="945"/>
          <w:tab w:val="left" w:pos="1155"/>
        </w:tabs>
        <w:spacing w:line="360" w:lineRule="auto"/>
        <w:ind w:firstLine="566" w:firstLineChars="236"/>
        <w:rPr>
          <w:rFonts w:ascii="宋体" w:hAnsi="宋体"/>
          <w:bCs/>
          <w:sz w:val="24"/>
          <w:highlight w:val="none"/>
        </w:rPr>
      </w:pPr>
      <w:r>
        <w:rPr>
          <w:rFonts w:hint="eastAsia" w:ascii="宋体" w:hAnsi="宋体"/>
          <w:bCs/>
          <w:sz w:val="24"/>
          <w:highlight w:val="none"/>
        </w:rPr>
        <w:t>投标人能够提供入侵防御由原厂商（天融信）出具的针对本项目提供原厂维保服务承诺函的得2分（需加盖厂商公章，否则不得分）。</w:t>
      </w:r>
    </w:p>
    <w:p>
      <w:pPr>
        <w:numPr>
          <w:ilvl w:val="0"/>
          <w:numId w:val="4"/>
        </w:numPr>
        <w:tabs>
          <w:tab w:val="left" w:pos="945"/>
          <w:tab w:val="left" w:pos="1155"/>
        </w:tabs>
        <w:spacing w:line="360" w:lineRule="auto"/>
        <w:ind w:left="0" w:leftChars="0" w:firstLine="566" w:firstLineChars="236"/>
        <w:rPr>
          <w:rFonts w:hint="eastAsia" w:ascii="宋体" w:hAnsi="宋体"/>
          <w:bCs/>
          <w:sz w:val="24"/>
          <w:highlight w:val="none"/>
        </w:rPr>
      </w:pPr>
      <w:r>
        <w:rPr>
          <w:rFonts w:hint="eastAsia" w:ascii="宋体" w:hAnsi="宋体"/>
          <w:bCs/>
          <w:sz w:val="24"/>
          <w:highlight w:val="none"/>
        </w:rPr>
        <w:t>投标人能够提供WAF防火墙由原厂商（天融信）出具的针对本项目提供原厂维保服务承诺函的得2分（需加盖厂商公章，否则不得分）。</w:t>
      </w:r>
    </w:p>
    <w:p>
      <w:pPr>
        <w:numPr>
          <w:ilvl w:val="0"/>
          <w:numId w:val="4"/>
        </w:numPr>
        <w:tabs>
          <w:tab w:val="left" w:pos="945"/>
          <w:tab w:val="left" w:pos="1155"/>
        </w:tabs>
        <w:spacing w:line="360" w:lineRule="auto"/>
        <w:ind w:left="0" w:leftChars="0" w:firstLine="566" w:firstLineChars="236"/>
        <w:rPr>
          <w:rFonts w:hint="eastAsia" w:ascii="宋体" w:hAnsi="宋体"/>
          <w:bCs/>
          <w:sz w:val="24"/>
          <w:highlight w:val="none"/>
        </w:rPr>
      </w:pPr>
      <w:r>
        <w:rPr>
          <w:rFonts w:hint="eastAsia" w:ascii="宋体" w:hAnsi="宋体"/>
          <w:bCs/>
          <w:sz w:val="24"/>
          <w:highlight w:val="none"/>
        </w:rPr>
        <w:t>投标人能够提供由</w:t>
      </w:r>
      <w:r>
        <w:rPr>
          <w:rFonts w:hint="eastAsia" w:ascii="宋体" w:hAnsi="宋体"/>
          <w:bCs/>
          <w:sz w:val="24"/>
          <w:highlight w:val="none"/>
          <w:lang w:val="en-US" w:eastAsia="zh-CN"/>
        </w:rPr>
        <w:t>虚拟化安全防病毒</w:t>
      </w:r>
      <w:r>
        <w:rPr>
          <w:rFonts w:hint="eastAsia" w:ascii="宋体" w:hAnsi="宋体"/>
          <w:bCs/>
          <w:sz w:val="24"/>
          <w:highlight w:val="none"/>
        </w:rPr>
        <w:t>原厂商（</w:t>
      </w:r>
      <w:r>
        <w:rPr>
          <w:rFonts w:hint="eastAsia" w:ascii="宋体" w:hAnsi="宋体"/>
          <w:bCs/>
          <w:sz w:val="24"/>
          <w:highlight w:val="none"/>
          <w:lang w:val="en-US" w:eastAsia="zh-CN"/>
        </w:rPr>
        <w:t>奇安信</w:t>
      </w:r>
      <w:r>
        <w:rPr>
          <w:rFonts w:hint="eastAsia" w:ascii="宋体" w:hAnsi="宋体"/>
          <w:bCs/>
          <w:sz w:val="24"/>
          <w:highlight w:val="none"/>
        </w:rPr>
        <w:t>）出具的针对本项目提供原厂维保服务承诺函的得2分（需加盖厂商公章，否则不得分）。</w:t>
      </w:r>
    </w:p>
    <w:p>
      <w:pPr>
        <w:pStyle w:val="42"/>
        <w:numPr>
          <w:ilvl w:val="0"/>
          <w:numId w:val="3"/>
        </w:numPr>
        <w:tabs>
          <w:tab w:val="left" w:pos="525"/>
          <w:tab w:val="left" w:pos="945"/>
          <w:tab w:val="left" w:pos="1155"/>
          <w:tab w:val="left" w:pos="2250"/>
          <w:tab w:val="left" w:pos="3823"/>
        </w:tabs>
        <w:spacing w:line="360" w:lineRule="auto"/>
        <w:ind w:hanging="834" w:firstLineChars="0"/>
        <w:rPr>
          <w:rFonts w:ascii="宋体" w:hAnsi="宋体"/>
          <w:b/>
          <w:bCs/>
          <w:sz w:val="24"/>
        </w:rPr>
      </w:pPr>
      <w:r>
        <w:rPr>
          <w:rFonts w:hint="eastAsia" w:ascii="宋体" w:hAnsi="宋体"/>
          <w:b/>
          <w:bCs/>
          <w:sz w:val="24"/>
        </w:rPr>
        <w:t>技术实施方案（40分）：无方案不得分</w:t>
      </w:r>
    </w:p>
    <w:p>
      <w:pPr>
        <w:tabs>
          <w:tab w:val="left" w:pos="945"/>
          <w:tab w:val="left" w:pos="1155"/>
        </w:tabs>
        <w:spacing w:line="360" w:lineRule="auto"/>
        <w:ind w:firstLine="569" w:firstLineChars="236"/>
        <w:rPr>
          <w:rFonts w:ascii="宋体" w:hAnsi="宋体"/>
          <w:bCs/>
          <w:sz w:val="24"/>
          <w:highlight w:val="none"/>
        </w:rPr>
      </w:pPr>
      <w:r>
        <w:rPr>
          <w:rFonts w:hint="eastAsia" w:ascii="宋体" w:hAnsi="宋体"/>
          <w:b/>
          <w:bCs/>
          <w:sz w:val="24"/>
        </w:rPr>
        <w:t>1、项目管理方案（10分）：</w:t>
      </w:r>
      <w:r>
        <w:rPr>
          <w:rFonts w:hint="eastAsia" w:ascii="宋体" w:hAnsi="宋体"/>
          <w:bCs/>
          <w:sz w:val="24"/>
        </w:rPr>
        <w:t>方案内容包括（但不限</w:t>
      </w:r>
      <w:r>
        <w:rPr>
          <w:rFonts w:hint="eastAsia" w:ascii="宋体" w:hAnsi="宋体"/>
          <w:bCs/>
          <w:sz w:val="24"/>
          <w:highlight w:val="none"/>
        </w:rPr>
        <w:t>于）项目的质量、沟通、变更、风险、文档管理等五个方面内容。</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highlight w:val="none"/>
        </w:rPr>
        <w:t>方案清晰、合理、详细、全面、针对性强、可行性强，且5项方</w:t>
      </w:r>
      <w:r>
        <w:rPr>
          <w:rFonts w:hint="eastAsia" w:ascii="宋体" w:hAnsi="宋体"/>
          <w:bCs/>
          <w:sz w:val="24"/>
        </w:rPr>
        <w:t>案内容均齐全的，得10分；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方案较清晰、较合理、较详细、较全面、针对性较强、可行性较强，且能够提供3-5项方案内容的，得8分；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方案清晰度一般、合理性一般、详细性一般、全面性一般、针对性一般、可行性一般，且能够提供2-5项方案内容的，得6分；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方案基本满足要求，没有明确各项内容的，得4分。</w:t>
      </w:r>
    </w:p>
    <w:p>
      <w:pPr>
        <w:tabs>
          <w:tab w:val="left" w:pos="945"/>
          <w:tab w:val="left" w:pos="1155"/>
        </w:tabs>
        <w:spacing w:line="360" w:lineRule="auto"/>
        <w:ind w:firstLine="569" w:firstLineChars="236"/>
        <w:rPr>
          <w:rFonts w:ascii="宋体" w:hAnsi="宋体"/>
          <w:bCs/>
          <w:sz w:val="24"/>
        </w:rPr>
      </w:pPr>
      <w:r>
        <w:rPr>
          <w:rFonts w:hint="eastAsia" w:ascii="宋体" w:hAnsi="宋体"/>
          <w:b/>
          <w:bCs/>
          <w:sz w:val="24"/>
        </w:rPr>
        <w:t>2、运维服务方案（15分）：</w:t>
      </w:r>
      <w:r>
        <w:rPr>
          <w:rFonts w:hint="eastAsia" w:ascii="宋体" w:hAnsi="宋体"/>
          <w:bCs/>
          <w:sz w:val="24"/>
        </w:rPr>
        <w:t>从承诺的</w:t>
      </w:r>
      <w:r>
        <w:rPr>
          <w:rFonts w:hint="eastAsia" w:ascii="宋体" w:hAnsi="宋体"/>
          <w:bCs/>
          <w:sz w:val="24"/>
          <w:highlight w:val="none"/>
        </w:rPr>
        <w:t>严重故障响应到达现场时间及严重故障响应措施等进行综合评审，包含（但不限于）基本承诺、服务目标、服务周期、服务计划、系统运维、技术支持、系统评估、系统巡检等内容。</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方案清晰、合理、详细、全面、针对性强、可行性强，且8项方案内容均齐全的,15分；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方案较清晰、较合理、较详细、较全面、针对性较强、可行性较强，且能够提供6-8项方案内容的，得13分；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方案清晰度一般、合理性一般、详细性一般、全面性一般、针对性一般、可行性一般，且能够提供4-8项方案内容的，得11分；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方案基本满足要求，没有明确各项内容的，得9分。</w:t>
      </w:r>
    </w:p>
    <w:p>
      <w:pPr>
        <w:tabs>
          <w:tab w:val="left" w:pos="945"/>
          <w:tab w:val="left" w:pos="1155"/>
        </w:tabs>
        <w:spacing w:line="360" w:lineRule="auto"/>
        <w:ind w:firstLine="569" w:firstLineChars="236"/>
        <w:rPr>
          <w:rFonts w:ascii="宋体" w:hAnsi="宋体"/>
          <w:bCs/>
          <w:sz w:val="24"/>
          <w:highlight w:val="none"/>
        </w:rPr>
      </w:pPr>
      <w:r>
        <w:rPr>
          <w:rFonts w:hint="eastAsia" w:ascii="宋体" w:hAnsi="宋体"/>
          <w:b/>
          <w:bCs/>
          <w:sz w:val="24"/>
        </w:rPr>
        <w:t>3、故障应急预案（</w:t>
      </w:r>
      <w:r>
        <w:rPr>
          <w:rFonts w:ascii="宋体" w:hAnsi="宋体"/>
          <w:b/>
          <w:bCs/>
          <w:sz w:val="24"/>
        </w:rPr>
        <w:t>9</w:t>
      </w:r>
      <w:r>
        <w:rPr>
          <w:rFonts w:hint="eastAsia" w:ascii="宋体" w:hAnsi="宋体"/>
          <w:b/>
          <w:bCs/>
          <w:sz w:val="24"/>
        </w:rPr>
        <w:t>分）：</w:t>
      </w:r>
      <w:r>
        <w:rPr>
          <w:rFonts w:hint="eastAsia" w:ascii="宋体" w:hAnsi="宋体"/>
          <w:bCs/>
          <w:sz w:val="24"/>
        </w:rPr>
        <w:t>预案能充分</w:t>
      </w:r>
      <w:r>
        <w:rPr>
          <w:rFonts w:hint="eastAsia" w:ascii="宋体" w:hAnsi="宋体"/>
          <w:bCs/>
          <w:sz w:val="24"/>
          <w:highlight w:val="none"/>
        </w:rPr>
        <w:t>考虑到在实施过程中系统可能出现的重大故障，并能规划出合理应对措施，包含（但不限于）预警及预防、应急响应、应急处理流程、应急故障处理、善后处理、应急保障、宣传培训演习等内容。</w:t>
      </w:r>
    </w:p>
    <w:p>
      <w:pPr>
        <w:tabs>
          <w:tab w:val="left" w:pos="945"/>
          <w:tab w:val="left" w:pos="1155"/>
        </w:tabs>
        <w:spacing w:line="360" w:lineRule="auto"/>
        <w:ind w:firstLine="566" w:firstLineChars="236"/>
        <w:rPr>
          <w:rFonts w:ascii="宋体" w:hAnsi="宋体"/>
          <w:bCs/>
          <w:sz w:val="24"/>
          <w:highlight w:val="none"/>
        </w:rPr>
      </w:pPr>
      <w:r>
        <w:rPr>
          <w:rFonts w:hint="eastAsia" w:ascii="宋体" w:hAnsi="宋体"/>
          <w:bCs/>
          <w:sz w:val="24"/>
          <w:highlight w:val="none"/>
        </w:rPr>
        <w:t>方案清晰、合理、详细、全面、针对性强、可行性强，且7项方案内容均齐全的，9分；</w:t>
      </w:r>
    </w:p>
    <w:p>
      <w:pPr>
        <w:tabs>
          <w:tab w:val="left" w:pos="945"/>
          <w:tab w:val="left" w:pos="1155"/>
        </w:tabs>
        <w:spacing w:line="360" w:lineRule="auto"/>
        <w:ind w:firstLine="566" w:firstLineChars="236"/>
        <w:rPr>
          <w:rFonts w:ascii="宋体" w:hAnsi="宋体"/>
          <w:bCs/>
          <w:sz w:val="24"/>
          <w:highlight w:val="none"/>
        </w:rPr>
      </w:pPr>
      <w:r>
        <w:rPr>
          <w:rFonts w:hint="eastAsia" w:ascii="宋体" w:hAnsi="宋体"/>
          <w:bCs/>
          <w:sz w:val="24"/>
          <w:highlight w:val="none"/>
        </w:rPr>
        <w:t>方案较清晰、较合理、较详细、较全面、针对性较强、可行性较强，且能够提供5-7项方案内容的，得7分；</w:t>
      </w:r>
    </w:p>
    <w:p>
      <w:pPr>
        <w:tabs>
          <w:tab w:val="left" w:pos="945"/>
          <w:tab w:val="left" w:pos="1155"/>
        </w:tabs>
        <w:spacing w:line="360" w:lineRule="auto"/>
        <w:ind w:firstLine="566" w:firstLineChars="236"/>
        <w:rPr>
          <w:rFonts w:ascii="宋体" w:hAnsi="宋体"/>
          <w:bCs/>
          <w:sz w:val="24"/>
          <w:highlight w:val="none"/>
        </w:rPr>
      </w:pPr>
      <w:r>
        <w:rPr>
          <w:rFonts w:hint="eastAsia" w:ascii="宋体" w:hAnsi="宋体"/>
          <w:bCs/>
          <w:sz w:val="24"/>
          <w:highlight w:val="none"/>
        </w:rPr>
        <w:t>方案清晰度一般、合理性一般、详细性一般、全面性一般、针对性一般、可行性一般，且能够提供3-7项方案内容的，得5分；</w:t>
      </w:r>
    </w:p>
    <w:p>
      <w:pPr>
        <w:tabs>
          <w:tab w:val="left" w:pos="945"/>
          <w:tab w:val="left" w:pos="1155"/>
        </w:tabs>
        <w:spacing w:line="360" w:lineRule="auto"/>
        <w:ind w:firstLine="566" w:firstLineChars="236"/>
        <w:rPr>
          <w:rFonts w:ascii="宋体" w:hAnsi="宋体"/>
          <w:bCs/>
          <w:sz w:val="24"/>
          <w:highlight w:val="none"/>
        </w:rPr>
      </w:pPr>
      <w:r>
        <w:rPr>
          <w:rFonts w:hint="eastAsia" w:ascii="宋体" w:hAnsi="宋体"/>
          <w:bCs/>
          <w:sz w:val="24"/>
          <w:highlight w:val="none"/>
        </w:rPr>
        <w:t>方案基本满足要求，没有明确各项内容的，得3分。</w:t>
      </w:r>
    </w:p>
    <w:p>
      <w:pPr>
        <w:tabs>
          <w:tab w:val="left" w:pos="945"/>
          <w:tab w:val="left" w:pos="1155"/>
        </w:tabs>
        <w:spacing w:line="360" w:lineRule="auto"/>
        <w:ind w:firstLine="569" w:firstLineChars="236"/>
        <w:rPr>
          <w:rFonts w:ascii="宋体" w:hAnsi="宋体"/>
          <w:bCs/>
          <w:sz w:val="24"/>
          <w:highlight w:val="none"/>
        </w:rPr>
      </w:pPr>
      <w:r>
        <w:rPr>
          <w:rFonts w:hint="eastAsia" w:ascii="宋体" w:hAnsi="宋体"/>
          <w:b/>
          <w:bCs/>
          <w:sz w:val="24"/>
          <w:highlight w:val="none"/>
        </w:rPr>
        <w:t>4、项目培训方案（6分）：</w:t>
      </w:r>
      <w:r>
        <w:rPr>
          <w:rFonts w:hint="eastAsia" w:ascii="宋体" w:hAnsi="宋体"/>
          <w:bCs/>
          <w:sz w:val="24"/>
          <w:highlight w:val="none"/>
        </w:rPr>
        <w:t>方案包括（但不限于）信息化系统日常运维操作、人员安全管理制度两个方面阐述本项目的培训方案。</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highlight w:val="none"/>
        </w:rPr>
        <w:t>方案清晰、合理、详细、全面、针对性强、可行性强，</w:t>
      </w:r>
      <w:r>
        <w:rPr>
          <w:rFonts w:hint="eastAsia" w:ascii="宋体" w:hAnsi="宋体"/>
          <w:bCs/>
          <w:sz w:val="24"/>
        </w:rPr>
        <w:t>且2项方案内容均齐全的，得6分；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方案较清晰、较合理、较详细、较全面、针对性较强、可行性较强，且能够提供1-2项方案内容的，得5分；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方案清晰度一般、合理性一般、详细性一般、全面性一般、针对性一般、可行性一般，且能够至少提供1项方案内容的，得4分；</w:t>
      </w:r>
    </w:p>
    <w:p>
      <w:pPr>
        <w:tabs>
          <w:tab w:val="left" w:pos="945"/>
          <w:tab w:val="left" w:pos="1155"/>
        </w:tabs>
        <w:spacing w:line="360" w:lineRule="auto"/>
        <w:ind w:firstLine="566" w:firstLineChars="236"/>
        <w:rPr>
          <w:rFonts w:ascii="宋体" w:hAnsi="宋体"/>
          <w:bCs/>
          <w:sz w:val="24"/>
        </w:rPr>
      </w:pPr>
      <w:r>
        <w:rPr>
          <w:rFonts w:hint="eastAsia" w:ascii="宋体" w:hAnsi="宋体"/>
          <w:bCs/>
          <w:sz w:val="24"/>
        </w:rPr>
        <w:t>方案基本满足要求，没有明确各项内容的，得3分。</w:t>
      </w:r>
    </w:p>
    <w:sectPr>
      <w:footerReference r:id="rId3" w:type="default"/>
      <w:pgSz w:w="11906" w:h="16838"/>
      <w:pgMar w:top="1134"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roman"/>
    <w:pitch w:val="default"/>
    <w:sig w:usb0="00000000" w:usb1="00000000" w:usb2="00000016" w:usb3="00000000" w:csb0="0004000F" w:csb1="00000000"/>
  </w:font>
  <w:font w:name="Cambria">
    <w:panose1 w:val="02040503050406030204"/>
    <w:charset w:val="00"/>
    <w:family w:val="roman"/>
    <w:pitch w:val="default"/>
    <w:sig w:usb0="A00002EF" w:usb1="4000004B" w:usb2="00000000" w:usb3="00000000" w:csb0="200000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93219"/>
    </w:sdtPr>
    <w:sdtContent>
      <w:sdt>
        <w:sdtPr>
          <w:id w:val="171357217"/>
        </w:sdtPr>
        <w:sdtContent>
          <w:p>
            <w:pPr>
              <w:pStyle w:val="11"/>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7</w:t>
            </w:r>
            <w:r>
              <w:rPr>
                <w:b/>
                <w:sz w:val="24"/>
                <w:szCs w:val="24"/>
              </w:rPr>
              <w:fldChar w:fldCharType="end"/>
            </w:r>
          </w:p>
        </w:sdtContent>
      </w:sdt>
    </w:sdtContent>
  </w:sdt>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BDB89C"/>
    <w:multiLevelType w:val="singleLevel"/>
    <w:tmpl w:val="E7BDB89C"/>
    <w:lvl w:ilvl="0" w:tentative="0">
      <w:start w:val="1"/>
      <w:numFmt w:val="chineseCounting"/>
      <w:suff w:val="nothing"/>
      <w:lvlText w:val="（%1）"/>
      <w:lvlJc w:val="left"/>
      <w:pPr>
        <w:ind w:left="0" w:firstLine="420"/>
      </w:pPr>
      <w:rPr>
        <w:rFonts w:hint="eastAsia"/>
        <w:b w:val="0"/>
      </w:rPr>
    </w:lvl>
  </w:abstractNum>
  <w:abstractNum w:abstractNumId="1">
    <w:nsid w:val="00000003"/>
    <w:multiLevelType w:val="multilevel"/>
    <w:tmpl w:val="00000003"/>
    <w:lvl w:ilvl="0" w:tentative="0">
      <w:start w:val="1"/>
      <w:numFmt w:val="decimal"/>
      <w:lvlText w:val="第%1章"/>
      <w:lvlJc w:val="left"/>
      <w:pPr>
        <w:tabs>
          <w:tab w:val="left" w:pos="425"/>
        </w:tabs>
        <w:ind w:left="0" w:firstLine="0"/>
      </w:pPr>
      <w:rPr>
        <w:rFonts w:hint="eastAsia"/>
        <w:b w:val="0"/>
        <w:bCs w:val="0"/>
        <w:i w:val="0"/>
        <w:iCs w:val="0"/>
        <w:caps w:val="0"/>
        <w:smallCaps w:val="0"/>
        <w:vanish w:val="0"/>
        <w:color w:val="000000"/>
        <w:spacing w:val="0"/>
        <w:position w:val="0"/>
        <w:sz w:val="44"/>
        <w:u w:val="none"/>
        <w:vertAlign w:val="baseline"/>
      </w:rPr>
    </w:lvl>
    <w:lvl w:ilvl="1" w:tentative="0">
      <w:start w:val="1"/>
      <w:numFmt w:val="decimal"/>
      <w:isLgl/>
      <w:lvlText w:val="%1.%2"/>
      <w:lvlJc w:val="left"/>
      <w:pPr>
        <w:tabs>
          <w:tab w:val="left" w:pos="425"/>
        </w:tabs>
        <w:ind w:left="0" w:firstLine="0"/>
      </w:pPr>
      <w:rPr>
        <w:rFonts w:hint="eastAsia"/>
        <w:b w:val="0"/>
        <w:i w:val="0"/>
        <w:color w:val="000000"/>
      </w:rPr>
    </w:lvl>
    <w:lvl w:ilvl="2" w:tentative="0">
      <w:start w:val="1"/>
      <w:numFmt w:val="decimal"/>
      <w:isLgl/>
      <w:lvlText w:val="%1.%2.%3"/>
      <w:lvlJc w:val="left"/>
      <w:pPr>
        <w:tabs>
          <w:tab w:val="left" w:pos="425"/>
        </w:tabs>
        <w:ind w:left="0" w:firstLine="0"/>
      </w:pPr>
      <w:rPr>
        <w:rFonts w:hint="eastAsia"/>
      </w:rPr>
    </w:lvl>
    <w:lvl w:ilvl="3" w:tentative="0">
      <w:start w:val="1"/>
      <w:numFmt w:val="decimal"/>
      <w:pStyle w:val="5"/>
      <w:isLgl/>
      <w:lvlText w:val="%1.%2.%3.%4"/>
      <w:lvlJc w:val="left"/>
      <w:pPr>
        <w:tabs>
          <w:tab w:val="left" w:pos="425"/>
        </w:tabs>
        <w:ind w:left="0" w:firstLine="0"/>
      </w:pPr>
      <w:rPr>
        <w:rFonts w:hint="eastAsia"/>
      </w:rPr>
    </w:lvl>
    <w:lvl w:ilvl="4" w:tentative="0">
      <w:start w:val="1"/>
      <w:numFmt w:val="decimal"/>
      <w:isLgl/>
      <w:lvlText w:val="%1.%2.%3.%4.%5"/>
      <w:lvlJc w:val="left"/>
      <w:pPr>
        <w:tabs>
          <w:tab w:val="left" w:pos="425"/>
        </w:tabs>
        <w:ind w:left="0" w:firstLine="0"/>
      </w:pPr>
      <w:rPr>
        <w:rFonts w:hint="eastAsia"/>
        <w:b w:val="0"/>
      </w:rPr>
    </w:lvl>
    <w:lvl w:ilvl="5" w:tentative="0">
      <w:start w:val="1"/>
      <w:numFmt w:val="decimal"/>
      <w:isLgl/>
      <w:lvlText w:val="%1.%2.%3.%4.%5.%6"/>
      <w:lvlJc w:val="left"/>
      <w:pPr>
        <w:tabs>
          <w:tab w:val="left" w:pos="425"/>
        </w:tabs>
        <w:ind w:left="0" w:firstLine="0"/>
      </w:pPr>
      <w:rPr>
        <w:rFonts w:hint="eastAsia"/>
      </w:rPr>
    </w:lvl>
    <w:lvl w:ilvl="6" w:tentative="0">
      <w:start w:val="1"/>
      <w:numFmt w:val="decimal"/>
      <w:isLgl/>
      <w:lvlText w:val="%1.%2.%3.%4.%5.%6.%7"/>
      <w:lvlJc w:val="left"/>
      <w:pPr>
        <w:tabs>
          <w:tab w:val="left" w:pos="425"/>
        </w:tabs>
        <w:ind w:left="0" w:firstLine="0"/>
      </w:pPr>
      <w:rPr>
        <w:rFonts w:hint="eastAsia"/>
      </w:rPr>
    </w:lvl>
    <w:lvl w:ilvl="7" w:tentative="0">
      <w:start w:val="1"/>
      <w:numFmt w:val="decimal"/>
      <w:isLgl/>
      <w:lvlText w:val="%1.%2.%3.%4.%5.%6.%7.%8"/>
      <w:lvlJc w:val="left"/>
      <w:pPr>
        <w:tabs>
          <w:tab w:val="left" w:pos="425"/>
        </w:tabs>
        <w:ind w:left="0" w:firstLine="0"/>
      </w:pPr>
      <w:rPr>
        <w:rFonts w:hint="eastAsia"/>
      </w:rPr>
    </w:lvl>
    <w:lvl w:ilvl="8" w:tentative="0">
      <w:start w:val="1"/>
      <w:numFmt w:val="decimal"/>
      <w:isLgl/>
      <w:lvlText w:val="%1.%2.%3.%4.%5.%6.%7.%8.%9"/>
      <w:lvlJc w:val="left"/>
      <w:pPr>
        <w:tabs>
          <w:tab w:val="left" w:pos="425"/>
        </w:tabs>
        <w:ind w:left="0" w:firstLine="0"/>
      </w:pPr>
      <w:rPr>
        <w:rFonts w:hint="eastAsia"/>
      </w:rPr>
    </w:lvl>
  </w:abstractNum>
  <w:abstractNum w:abstractNumId="2">
    <w:nsid w:val="5D1E1A9A"/>
    <w:multiLevelType w:val="multilevel"/>
    <w:tmpl w:val="5D1E1A9A"/>
    <w:lvl w:ilvl="0" w:tentative="0">
      <w:start w:val="1"/>
      <w:numFmt w:val="chineseCountingThousand"/>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7E9274A7"/>
    <w:multiLevelType w:val="singleLevel"/>
    <w:tmpl w:val="7E9274A7"/>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wYWQ3MmIwYTRkOTg1MTYxYmIxNDQxNmVkODFmYzkifQ=="/>
  </w:docVars>
  <w:rsids>
    <w:rsidRoot w:val="00172A27"/>
    <w:rsid w:val="0000184B"/>
    <w:rsid w:val="000022C8"/>
    <w:rsid w:val="000040E4"/>
    <w:rsid w:val="00004887"/>
    <w:rsid w:val="0000507B"/>
    <w:rsid w:val="000105CD"/>
    <w:rsid w:val="000130F9"/>
    <w:rsid w:val="000169ED"/>
    <w:rsid w:val="00023E2A"/>
    <w:rsid w:val="00025C05"/>
    <w:rsid w:val="00035D40"/>
    <w:rsid w:val="0003777B"/>
    <w:rsid w:val="00042064"/>
    <w:rsid w:val="00042C27"/>
    <w:rsid w:val="00044229"/>
    <w:rsid w:val="00045988"/>
    <w:rsid w:val="000467E3"/>
    <w:rsid w:val="00055FDC"/>
    <w:rsid w:val="00057621"/>
    <w:rsid w:val="00057E71"/>
    <w:rsid w:val="00065A19"/>
    <w:rsid w:val="000670E4"/>
    <w:rsid w:val="0006748F"/>
    <w:rsid w:val="000805A2"/>
    <w:rsid w:val="00085CF7"/>
    <w:rsid w:val="00090418"/>
    <w:rsid w:val="00090EC4"/>
    <w:rsid w:val="000912CC"/>
    <w:rsid w:val="00091A0C"/>
    <w:rsid w:val="00097563"/>
    <w:rsid w:val="000A1E6F"/>
    <w:rsid w:val="000B1730"/>
    <w:rsid w:val="000B71A4"/>
    <w:rsid w:val="000C0C03"/>
    <w:rsid w:val="000C7448"/>
    <w:rsid w:val="000E2368"/>
    <w:rsid w:val="000E6B64"/>
    <w:rsid w:val="000F1684"/>
    <w:rsid w:val="000F446C"/>
    <w:rsid w:val="000F6091"/>
    <w:rsid w:val="000F6D6C"/>
    <w:rsid w:val="00100EB6"/>
    <w:rsid w:val="0010232E"/>
    <w:rsid w:val="001030B6"/>
    <w:rsid w:val="001059CB"/>
    <w:rsid w:val="0010772E"/>
    <w:rsid w:val="001123B1"/>
    <w:rsid w:val="0011674A"/>
    <w:rsid w:val="00125ED1"/>
    <w:rsid w:val="001308C0"/>
    <w:rsid w:val="00131F1B"/>
    <w:rsid w:val="00135263"/>
    <w:rsid w:val="001376C4"/>
    <w:rsid w:val="001411D4"/>
    <w:rsid w:val="001415AF"/>
    <w:rsid w:val="00145C26"/>
    <w:rsid w:val="001534B9"/>
    <w:rsid w:val="0016006C"/>
    <w:rsid w:val="00160E08"/>
    <w:rsid w:val="00163124"/>
    <w:rsid w:val="00172A27"/>
    <w:rsid w:val="00172A2A"/>
    <w:rsid w:val="00180CCD"/>
    <w:rsid w:val="00182621"/>
    <w:rsid w:val="00185FD3"/>
    <w:rsid w:val="00186D31"/>
    <w:rsid w:val="001905A5"/>
    <w:rsid w:val="001A0BDB"/>
    <w:rsid w:val="001B3244"/>
    <w:rsid w:val="001B71ED"/>
    <w:rsid w:val="001B7DE3"/>
    <w:rsid w:val="001C1CF0"/>
    <w:rsid w:val="001C305E"/>
    <w:rsid w:val="001C49A7"/>
    <w:rsid w:val="001C577C"/>
    <w:rsid w:val="001C7444"/>
    <w:rsid w:val="001D5FCF"/>
    <w:rsid w:val="001D6D94"/>
    <w:rsid w:val="001E20E3"/>
    <w:rsid w:val="001E5838"/>
    <w:rsid w:val="001E724E"/>
    <w:rsid w:val="001E7B32"/>
    <w:rsid w:val="001F0341"/>
    <w:rsid w:val="001F08D1"/>
    <w:rsid w:val="001F1173"/>
    <w:rsid w:val="001F1ECC"/>
    <w:rsid w:val="001F1F71"/>
    <w:rsid w:val="001F4D16"/>
    <w:rsid w:val="001F5360"/>
    <w:rsid w:val="001F5D7D"/>
    <w:rsid w:val="00203EF2"/>
    <w:rsid w:val="00206F5A"/>
    <w:rsid w:val="00210453"/>
    <w:rsid w:val="00213F6B"/>
    <w:rsid w:val="00223504"/>
    <w:rsid w:val="00225A49"/>
    <w:rsid w:val="00227F81"/>
    <w:rsid w:val="00237BF0"/>
    <w:rsid w:val="0024188E"/>
    <w:rsid w:val="00243B81"/>
    <w:rsid w:val="00244A5B"/>
    <w:rsid w:val="00244F5C"/>
    <w:rsid w:val="00252963"/>
    <w:rsid w:val="00267822"/>
    <w:rsid w:val="00267BF4"/>
    <w:rsid w:val="00270073"/>
    <w:rsid w:val="002732DB"/>
    <w:rsid w:val="00275489"/>
    <w:rsid w:val="0029097A"/>
    <w:rsid w:val="002921D0"/>
    <w:rsid w:val="00297373"/>
    <w:rsid w:val="002A2BC3"/>
    <w:rsid w:val="002A5743"/>
    <w:rsid w:val="002A634A"/>
    <w:rsid w:val="002C0690"/>
    <w:rsid w:val="002D050F"/>
    <w:rsid w:val="002D5F5F"/>
    <w:rsid w:val="002E50D9"/>
    <w:rsid w:val="002E7292"/>
    <w:rsid w:val="002E73B8"/>
    <w:rsid w:val="002E7ECA"/>
    <w:rsid w:val="002F179A"/>
    <w:rsid w:val="0030387E"/>
    <w:rsid w:val="00303B91"/>
    <w:rsid w:val="0031342A"/>
    <w:rsid w:val="003137DC"/>
    <w:rsid w:val="00320D4E"/>
    <w:rsid w:val="00341F4D"/>
    <w:rsid w:val="00345386"/>
    <w:rsid w:val="00346D63"/>
    <w:rsid w:val="003479EC"/>
    <w:rsid w:val="0035479C"/>
    <w:rsid w:val="00355A43"/>
    <w:rsid w:val="00355F67"/>
    <w:rsid w:val="00362BE2"/>
    <w:rsid w:val="00363916"/>
    <w:rsid w:val="00365348"/>
    <w:rsid w:val="00373D39"/>
    <w:rsid w:val="003778D2"/>
    <w:rsid w:val="00380529"/>
    <w:rsid w:val="00382970"/>
    <w:rsid w:val="00385B92"/>
    <w:rsid w:val="00387444"/>
    <w:rsid w:val="00390262"/>
    <w:rsid w:val="003912B3"/>
    <w:rsid w:val="00391363"/>
    <w:rsid w:val="00395FEE"/>
    <w:rsid w:val="003975F4"/>
    <w:rsid w:val="003A0520"/>
    <w:rsid w:val="003B4459"/>
    <w:rsid w:val="003C02B6"/>
    <w:rsid w:val="003C13DF"/>
    <w:rsid w:val="003C1AB9"/>
    <w:rsid w:val="003C40D7"/>
    <w:rsid w:val="003C4B2D"/>
    <w:rsid w:val="003C60C2"/>
    <w:rsid w:val="003D4401"/>
    <w:rsid w:val="003E4594"/>
    <w:rsid w:val="003E477B"/>
    <w:rsid w:val="003E61C2"/>
    <w:rsid w:val="003F40CB"/>
    <w:rsid w:val="003F4848"/>
    <w:rsid w:val="00401254"/>
    <w:rsid w:val="00411D36"/>
    <w:rsid w:val="0041404D"/>
    <w:rsid w:val="0042352A"/>
    <w:rsid w:val="00424149"/>
    <w:rsid w:val="00425229"/>
    <w:rsid w:val="0043267A"/>
    <w:rsid w:val="00442447"/>
    <w:rsid w:val="00443BB9"/>
    <w:rsid w:val="0044451A"/>
    <w:rsid w:val="0044473D"/>
    <w:rsid w:val="0044694B"/>
    <w:rsid w:val="004472D9"/>
    <w:rsid w:val="00450535"/>
    <w:rsid w:val="00462566"/>
    <w:rsid w:val="004649A5"/>
    <w:rsid w:val="00472D24"/>
    <w:rsid w:val="00475BA0"/>
    <w:rsid w:val="00476495"/>
    <w:rsid w:val="00484086"/>
    <w:rsid w:val="00485B35"/>
    <w:rsid w:val="00487475"/>
    <w:rsid w:val="00487F40"/>
    <w:rsid w:val="004900A2"/>
    <w:rsid w:val="00491F1F"/>
    <w:rsid w:val="00495F30"/>
    <w:rsid w:val="00495FF7"/>
    <w:rsid w:val="00497D90"/>
    <w:rsid w:val="004A1791"/>
    <w:rsid w:val="004A2F7E"/>
    <w:rsid w:val="004A7930"/>
    <w:rsid w:val="004B312F"/>
    <w:rsid w:val="004B7227"/>
    <w:rsid w:val="004C5215"/>
    <w:rsid w:val="004C73CA"/>
    <w:rsid w:val="004D3E93"/>
    <w:rsid w:val="004D3EDF"/>
    <w:rsid w:val="004E0487"/>
    <w:rsid w:val="004E7214"/>
    <w:rsid w:val="004F4DE5"/>
    <w:rsid w:val="004F6227"/>
    <w:rsid w:val="00502A8A"/>
    <w:rsid w:val="00503AFB"/>
    <w:rsid w:val="0050482C"/>
    <w:rsid w:val="00507B0C"/>
    <w:rsid w:val="00512717"/>
    <w:rsid w:val="00515692"/>
    <w:rsid w:val="00517A89"/>
    <w:rsid w:val="00522705"/>
    <w:rsid w:val="0052481B"/>
    <w:rsid w:val="00525DA4"/>
    <w:rsid w:val="005279C2"/>
    <w:rsid w:val="00530EFC"/>
    <w:rsid w:val="005325DC"/>
    <w:rsid w:val="00533585"/>
    <w:rsid w:val="0053378B"/>
    <w:rsid w:val="00543788"/>
    <w:rsid w:val="00544E90"/>
    <w:rsid w:val="00552B7B"/>
    <w:rsid w:val="00553697"/>
    <w:rsid w:val="00554A8A"/>
    <w:rsid w:val="0055566E"/>
    <w:rsid w:val="005605CA"/>
    <w:rsid w:val="00563B26"/>
    <w:rsid w:val="00580F65"/>
    <w:rsid w:val="005827CD"/>
    <w:rsid w:val="00586126"/>
    <w:rsid w:val="00587F72"/>
    <w:rsid w:val="0059328B"/>
    <w:rsid w:val="005A7075"/>
    <w:rsid w:val="005B6B71"/>
    <w:rsid w:val="005B6C7B"/>
    <w:rsid w:val="005C43CA"/>
    <w:rsid w:val="005C731D"/>
    <w:rsid w:val="005D2FAF"/>
    <w:rsid w:val="005D74C9"/>
    <w:rsid w:val="005E0724"/>
    <w:rsid w:val="005F53B8"/>
    <w:rsid w:val="005F7A3B"/>
    <w:rsid w:val="00605CC7"/>
    <w:rsid w:val="006074B8"/>
    <w:rsid w:val="006105FF"/>
    <w:rsid w:val="00611455"/>
    <w:rsid w:val="00614996"/>
    <w:rsid w:val="00615DE4"/>
    <w:rsid w:val="00616256"/>
    <w:rsid w:val="00617C61"/>
    <w:rsid w:val="0062119B"/>
    <w:rsid w:val="00622CC3"/>
    <w:rsid w:val="006240B4"/>
    <w:rsid w:val="00626CD6"/>
    <w:rsid w:val="00627622"/>
    <w:rsid w:val="006320E3"/>
    <w:rsid w:val="0063268D"/>
    <w:rsid w:val="00633A59"/>
    <w:rsid w:val="00642980"/>
    <w:rsid w:val="006457B5"/>
    <w:rsid w:val="00645A89"/>
    <w:rsid w:val="006528BA"/>
    <w:rsid w:val="00655CF5"/>
    <w:rsid w:val="00655FD1"/>
    <w:rsid w:val="00660E9A"/>
    <w:rsid w:val="00664FEF"/>
    <w:rsid w:val="00665495"/>
    <w:rsid w:val="00666E60"/>
    <w:rsid w:val="006673A3"/>
    <w:rsid w:val="00680156"/>
    <w:rsid w:val="006830A6"/>
    <w:rsid w:val="00686C69"/>
    <w:rsid w:val="00687F5C"/>
    <w:rsid w:val="00695A0A"/>
    <w:rsid w:val="006A2CEB"/>
    <w:rsid w:val="006A4768"/>
    <w:rsid w:val="006A4845"/>
    <w:rsid w:val="006A757C"/>
    <w:rsid w:val="006B1648"/>
    <w:rsid w:val="006B3A42"/>
    <w:rsid w:val="006B3C39"/>
    <w:rsid w:val="006B6D7F"/>
    <w:rsid w:val="006B724E"/>
    <w:rsid w:val="006B75FC"/>
    <w:rsid w:val="006B7CC9"/>
    <w:rsid w:val="006C0419"/>
    <w:rsid w:val="006C0EA5"/>
    <w:rsid w:val="006C2546"/>
    <w:rsid w:val="006C429A"/>
    <w:rsid w:val="006D0652"/>
    <w:rsid w:val="006D2150"/>
    <w:rsid w:val="006E2326"/>
    <w:rsid w:val="006E4694"/>
    <w:rsid w:val="006E5C1A"/>
    <w:rsid w:val="006F1291"/>
    <w:rsid w:val="006F4385"/>
    <w:rsid w:val="006F6D90"/>
    <w:rsid w:val="00714712"/>
    <w:rsid w:val="007149B2"/>
    <w:rsid w:val="007165B3"/>
    <w:rsid w:val="00717055"/>
    <w:rsid w:val="0072344C"/>
    <w:rsid w:val="00724C91"/>
    <w:rsid w:val="00730FE6"/>
    <w:rsid w:val="00733342"/>
    <w:rsid w:val="00737E02"/>
    <w:rsid w:val="007432E8"/>
    <w:rsid w:val="00752973"/>
    <w:rsid w:val="00754E7C"/>
    <w:rsid w:val="00756F29"/>
    <w:rsid w:val="00767B66"/>
    <w:rsid w:val="00780645"/>
    <w:rsid w:val="007812B2"/>
    <w:rsid w:val="00782DF2"/>
    <w:rsid w:val="0078652C"/>
    <w:rsid w:val="0078762E"/>
    <w:rsid w:val="00795D38"/>
    <w:rsid w:val="007974AF"/>
    <w:rsid w:val="007A04C8"/>
    <w:rsid w:val="007A6342"/>
    <w:rsid w:val="007A7D9F"/>
    <w:rsid w:val="007B399F"/>
    <w:rsid w:val="007B4C68"/>
    <w:rsid w:val="007C3AF1"/>
    <w:rsid w:val="007C7528"/>
    <w:rsid w:val="007D40F1"/>
    <w:rsid w:val="007E2B1D"/>
    <w:rsid w:val="007E750B"/>
    <w:rsid w:val="007F01F0"/>
    <w:rsid w:val="007F192E"/>
    <w:rsid w:val="007F4831"/>
    <w:rsid w:val="007F5B89"/>
    <w:rsid w:val="007F6DB5"/>
    <w:rsid w:val="00807D0C"/>
    <w:rsid w:val="00813231"/>
    <w:rsid w:val="00816674"/>
    <w:rsid w:val="00817115"/>
    <w:rsid w:val="00821A3C"/>
    <w:rsid w:val="00823D15"/>
    <w:rsid w:val="00842009"/>
    <w:rsid w:val="008448D2"/>
    <w:rsid w:val="008502FA"/>
    <w:rsid w:val="00854730"/>
    <w:rsid w:val="00860BB2"/>
    <w:rsid w:val="008671F1"/>
    <w:rsid w:val="008672D5"/>
    <w:rsid w:val="00871B57"/>
    <w:rsid w:val="008731C5"/>
    <w:rsid w:val="008740E8"/>
    <w:rsid w:val="00875979"/>
    <w:rsid w:val="00893C6F"/>
    <w:rsid w:val="00897F1C"/>
    <w:rsid w:val="008A13E5"/>
    <w:rsid w:val="008A17DE"/>
    <w:rsid w:val="008A1C2D"/>
    <w:rsid w:val="008A7A93"/>
    <w:rsid w:val="008A7FAD"/>
    <w:rsid w:val="008B222B"/>
    <w:rsid w:val="008B2F9D"/>
    <w:rsid w:val="008B72C1"/>
    <w:rsid w:val="008B7496"/>
    <w:rsid w:val="008C3058"/>
    <w:rsid w:val="008C355E"/>
    <w:rsid w:val="008C7AAD"/>
    <w:rsid w:val="008D3789"/>
    <w:rsid w:val="008D50C4"/>
    <w:rsid w:val="008D5FBF"/>
    <w:rsid w:val="008D7ECA"/>
    <w:rsid w:val="008F31DD"/>
    <w:rsid w:val="0090089D"/>
    <w:rsid w:val="00900F32"/>
    <w:rsid w:val="00901474"/>
    <w:rsid w:val="00901E7D"/>
    <w:rsid w:val="00902210"/>
    <w:rsid w:val="009046B6"/>
    <w:rsid w:val="00910BDE"/>
    <w:rsid w:val="0091302B"/>
    <w:rsid w:val="0091334B"/>
    <w:rsid w:val="00913778"/>
    <w:rsid w:val="00916693"/>
    <w:rsid w:val="0092528D"/>
    <w:rsid w:val="009277E1"/>
    <w:rsid w:val="0093193C"/>
    <w:rsid w:val="0093270A"/>
    <w:rsid w:val="009343DF"/>
    <w:rsid w:val="009414B6"/>
    <w:rsid w:val="00941EDE"/>
    <w:rsid w:val="00944058"/>
    <w:rsid w:val="00944742"/>
    <w:rsid w:val="0094526E"/>
    <w:rsid w:val="009459B4"/>
    <w:rsid w:val="00952995"/>
    <w:rsid w:val="009557EA"/>
    <w:rsid w:val="00957166"/>
    <w:rsid w:val="00957AD1"/>
    <w:rsid w:val="009606B0"/>
    <w:rsid w:val="00970560"/>
    <w:rsid w:val="009744E6"/>
    <w:rsid w:val="00974D5F"/>
    <w:rsid w:val="00980259"/>
    <w:rsid w:val="00984A5A"/>
    <w:rsid w:val="00985554"/>
    <w:rsid w:val="009908B9"/>
    <w:rsid w:val="009A5CB8"/>
    <w:rsid w:val="009A7EAF"/>
    <w:rsid w:val="009B02F8"/>
    <w:rsid w:val="009B45A1"/>
    <w:rsid w:val="009B5E88"/>
    <w:rsid w:val="009B7565"/>
    <w:rsid w:val="009B75A7"/>
    <w:rsid w:val="009C3601"/>
    <w:rsid w:val="009C5109"/>
    <w:rsid w:val="009D3AC3"/>
    <w:rsid w:val="009D6EE6"/>
    <w:rsid w:val="009D6F28"/>
    <w:rsid w:val="009E00FD"/>
    <w:rsid w:val="009E0B1E"/>
    <w:rsid w:val="009E0E88"/>
    <w:rsid w:val="009E5234"/>
    <w:rsid w:val="009F73BB"/>
    <w:rsid w:val="00A004C1"/>
    <w:rsid w:val="00A00D08"/>
    <w:rsid w:val="00A01865"/>
    <w:rsid w:val="00A02390"/>
    <w:rsid w:val="00A02414"/>
    <w:rsid w:val="00A02D27"/>
    <w:rsid w:val="00A04DF8"/>
    <w:rsid w:val="00A0782C"/>
    <w:rsid w:val="00A07D10"/>
    <w:rsid w:val="00A174B5"/>
    <w:rsid w:val="00A20562"/>
    <w:rsid w:val="00A22025"/>
    <w:rsid w:val="00A2635C"/>
    <w:rsid w:val="00A3011B"/>
    <w:rsid w:val="00A32EF7"/>
    <w:rsid w:val="00A373B5"/>
    <w:rsid w:val="00A3774C"/>
    <w:rsid w:val="00A43DA0"/>
    <w:rsid w:val="00A45E4A"/>
    <w:rsid w:val="00A50DEA"/>
    <w:rsid w:val="00A563E9"/>
    <w:rsid w:val="00A6025F"/>
    <w:rsid w:val="00A60269"/>
    <w:rsid w:val="00A60DE0"/>
    <w:rsid w:val="00A70439"/>
    <w:rsid w:val="00A74E7A"/>
    <w:rsid w:val="00A751A5"/>
    <w:rsid w:val="00A91BBB"/>
    <w:rsid w:val="00A94BA0"/>
    <w:rsid w:val="00AA1402"/>
    <w:rsid w:val="00AA2025"/>
    <w:rsid w:val="00AA206B"/>
    <w:rsid w:val="00AA31CD"/>
    <w:rsid w:val="00AA3643"/>
    <w:rsid w:val="00AA3D47"/>
    <w:rsid w:val="00AB1342"/>
    <w:rsid w:val="00AB4E2E"/>
    <w:rsid w:val="00AC0BBC"/>
    <w:rsid w:val="00AD2290"/>
    <w:rsid w:val="00AD2338"/>
    <w:rsid w:val="00AD4669"/>
    <w:rsid w:val="00AD47E2"/>
    <w:rsid w:val="00AE308C"/>
    <w:rsid w:val="00AE30CA"/>
    <w:rsid w:val="00AE7D47"/>
    <w:rsid w:val="00AF0C4D"/>
    <w:rsid w:val="00AF42CF"/>
    <w:rsid w:val="00B06E14"/>
    <w:rsid w:val="00B17CDC"/>
    <w:rsid w:val="00B20DD7"/>
    <w:rsid w:val="00B27643"/>
    <w:rsid w:val="00B27F95"/>
    <w:rsid w:val="00B30D53"/>
    <w:rsid w:val="00B32017"/>
    <w:rsid w:val="00B3737A"/>
    <w:rsid w:val="00B64552"/>
    <w:rsid w:val="00B702AA"/>
    <w:rsid w:val="00B76FA2"/>
    <w:rsid w:val="00B80611"/>
    <w:rsid w:val="00B815D7"/>
    <w:rsid w:val="00B84196"/>
    <w:rsid w:val="00B879D2"/>
    <w:rsid w:val="00BA2BE6"/>
    <w:rsid w:val="00BA5022"/>
    <w:rsid w:val="00BA5D6D"/>
    <w:rsid w:val="00BA6AE2"/>
    <w:rsid w:val="00BB328F"/>
    <w:rsid w:val="00BB3CFE"/>
    <w:rsid w:val="00BB62B9"/>
    <w:rsid w:val="00BC4F1C"/>
    <w:rsid w:val="00BC56F9"/>
    <w:rsid w:val="00BC5A2D"/>
    <w:rsid w:val="00BD4AA6"/>
    <w:rsid w:val="00BD6C0C"/>
    <w:rsid w:val="00BE1E91"/>
    <w:rsid w:val="00BF15BF"/>
    <w:rsid w:val="00BF176F"/>
    <w:rsid w:val="00BF238D"/>
    <w:rsid w:val="00BF4112"/>
    <w:rsid w:val="00BF66A6"/>
    <w:rsid w:val="00C05110"/>
    <w:rsid w:val="00C06C28"/>
    <w:rsid w:val="00C120A4"/>
    <w:rsid w:val="00C13BB2"/>
    <w:rsid w:val="00C21E08"/>
    <w:rsid w:val="00C25FAC"/>
    <w:rsid w:val="00C32596"/>
    <w:rsid w:val="00C33D82"/>
    <w:rsid w:val="00C357DD"/>
    <w:rsid w:val="00C36E98"/>
    <w:rsid w:val="00C41C47"/>
    <w:rsid w:val="00C44954"/>
    <w:rsid w:val="00C45FD8"/>
    <w:rsid w:val="00C520CD"/>
    <w:rsid w:val="00C53A04"/>
    <w:rsid w:val="00C559D5"/>
    <w:rsid w:val="00C57890"/>
    <w:rsid w:val="00C62FE8"/>
    <w:rsid w:val="00C66290"/>
    <w:rsid w:val="00C701FF"/>
    <w:rsid w:val="00C72C82"/>
    <w:rsid w:val="00C7380F"/>
    <w:rsid w:val="00C7491C"/>
    <w:rsid w:val="00C878B4"/>
    <w:rsid w:val="00C9666D"/>
    <w:rsid w:val="00CA040A"/>
    <w:rsid w:val="00CA10A9"/>
    <w:rsid w:val="00CA233A"/>
    <w:rsid w:val="00CA261F"/>
    <w:rsid w:val="00CA45D6"/>
    <w:rsid w:val="00CA46B1"/>
    <w:rsid w:val="00CA5BB3"/>
    <w:rsid w:val="00CA682C"/>
    <w:rsid w:val="00CB000D"/>
    <w:rsid w:val="00CB1668"/>
    <w:rsid w:val="00CB6FC8"/>
    <w:rsid w:val="00CC4A15"/>
    <w:rsid w:val="00CD28D0"/>
    <w:rsid w:val="00CD6AD4"/>
    <w:rsid w:val="00CD6DDA"/>
    <w:rsid w:val="00CE1404"/>
    <w:rsid w:val="00CE2972"/>
    <w:rsid w:val="00CE4629"/>
    <w:rsid w:val="00CE6820"/>
    <w:rsid w:val="00CF06FE"/>
    <w:rsid w:val="00CF3A7B"/>
    <w:rsid w:val="00CF481D"/>
    <w:rsid w:val="00CF7C97"/>
    <w:rsid w:val="00D0061A"/>
    <w:rsid w:val="00D00A01"/>
    <w:rsid w:val="00D01514"/>
    <w:rsid w:val="00D11617"/>
    <w:rsid w:val="00D25965"/>
    <w:rsid w:val="00D31AB8"/>
    <w:rsid w:val="00D337D0"/>
    <w:rsid w:val="00D40472"/>
    <w:rsid w:val="00D42153"/>
    <w:rsid w:val="00D43F31"/>
    <w:rsid w:val="00D44117"/>
    <w:rsid w:val="00D51E92"/>
    <w:rsid w:val="00D57895"/>
    <w:rsid w:val="00D66149"/>
    <w:rsid w:val="00D671B3"/>
    <w:rsid w:val="00D733A8"/>
    <w:rsid w:val="00D73B23"/>
    <w:rsid w:val="00D810D9"/>
    <w:rsid w:val="00D82D71"/>
    <w:rsid w:val="00D82DDE"/>
    <w:rsid w:val="00D84454"/>
    <w:rsid w:val="00D90BAA"/>
    <w:rsid w:val="00D919BF"/>
    <w:rsid w:val="00D93067"/>
    <w:rsid w:val="00DB0294"/>
    <w:rsid w:val="00DB0FD3"/>
    <w:rsid w:val="00DB2FF7"/>
    <w:rsid w:val="00DB3864"/>
    <w:rsid w:val="00DC0E76"/>
    <w:rsid w:val="00DC3378"/>
    <w:rsid w:val="00DC42EA"/>
    <w:rsid w:val="00DD0A91"/>
    <w:rsid w:val="00DD147B"/>
    <w:rsid w:val="00DD6F7A"/>
    <w:rsid w:val="00DE4162"/>
    <w:rsid w:val="00DE5E4C"/>
    <w:rsid w:val="00DF0ADF"/>
    <w:rsid w:val="00DF134F"/>
    <w:rsid w:val="00DF1F16"/>
    <w:rsid w:val="00E01B80"/>
    <w:rsid w:val="00E02FE2"/>
    <w:rsid w:val="00E113A5"/>
    <w:rsid w:val="00E14BC7"/>
    <w:rsid w:val="00E204F1"/>
    <w:rsid w:val="00E24CAA"/>
    <w:rsid w:val="00E26967"/>
    <w:rsid w:val="00E30464"/>
    <w:rsid w:val="00E3060F"/>
    <w:rsid w:val="00E33D96"/>
    <w:rsid w:val="00E34982"/>
    <w:rsid w:val="00E35547"/>
    <w:rsid w:val="00E35E83"/>
    <w:rsid w:val="00E37320"/>
    <w:rsid w:val="00E45C30"/>
    <w:rsid w:val="00E47594"/>
    <w:rsid w:val="00E5170C"/>
    <w:rsid w:val="00E533F0"/>
    <w:rsid w:val="00E538E8"/>
    <w:rsid w:val="00E553E1"/>
    <w:rsid w:val="00E57DD9"/>
    <w:rsid w:val="00E6113B"/>
    <w:rsid w:val="00E672C2"/>
    <w:rsid w:val="00E7348C"/>
    <w:rsid w:val="00E73700"/>
    <w:rsid w:val="00E75ED2"/>
    <w:rsid w:val="00E976F0"/>
    <w:rsid w:val="00EA1210"/>
    <w:rsid w:val="00EA231F"/>
    <w:rsid w:val="00EC1418"/>
    <w:rsid w:val="00EC2A97"/>
    <w:rsid w:val="00EC4BED"/>
    <w:rsid w:val="00ED181E"/>
    <w:rsid w:val="00ED18E8"/>
    <w:rsid w:val="00ED3D44"/>
    <w:rsid w:val="00EE29B8"/>
    <w:rsid w:val="00EE3854"/>
    <w:rsid w:val="00EE6DAB"/>
    <w:rsid w:val="00EF1B2E"/>
    <w:rsid w:val="00EF2D6B"/>
    <w:rsid w:val="00EF358C"/>
    <w:rsid w:val="00EF7ADE"/>
    <w:rsid w:val="00F114B2"/>
    <w:rsid w:val="00F17CC6"/>
    <w:rsid w:val="00F316DB"/>
    <w:rsid w:val="00F334F1"/>
    <w:rsid w:val="00F41791"/>
    <w:rsid w:val="00F42E37"/>
    <w:rsid w:val="00F43624"/>
    <w:rsid w:val="00F44C14"/>
    <w:rsid w:val="00F45231"/>
    <w:rsid w:val="00F47A57"/>
    <w:rsid w:val="00F50955"/>
    <w:rsid w:val="00F5150D"/>
    <w:rsid w:val="00F53A76"/>
    <w:rsid w:val="00F6702E"/>
    <w:rsid w:val="00F71566"/>
    <w:rsid w:val="00F7365E"/>
    <w:rsid w:val="00F75336"/>
    <w:rsid w:val="00F82114"/>
    <w:rsid w:val="00F850C8"/>
    <w:rsid w:val="00F85B75"/>
    <w:rsid w:val="00F87990"/>
    <w:rsid w:val="00F90A6A"/>
    <w:rsid w:val="00F945A8"/>
    <w:rsid w:val="00FA1F25"/>
    <w:rsid w:val="00FA53C5"/>
    <w:rsid w:val="00FA568D"/>
    <w:rsid w:val="00FA7BC6"/>
    <w:rsid w:val="00FB1461"/>
    <w:rsid w:val="00FB1651"/>
    <w:rsid w:val="00FB435C"/>
    <w:rsid w:val="00FB510E"/>
    <w:rsid w:val="00FC1A3D"/>
    <w:rsid w:val="00FD4ED4"/>
    <w:rsid w:val="00FD636D"/>
    <w:rsid w:val="00FD715B"/>
    <w:rsid w:val="00FE0771"/>
    <w:rsid w:val="00FE1DDE"/>
    <w:rsid w:val="00FE3D46"/>
    <w:rsid w:val="00FF3443"/>
    <w:rsid w:val="00FF546E"/>
    <w:rsid w:val="00FF7926"/>
    <w:rsid w:val="02F546EC"/>
    <w:rsid w:val="02FB7F22"/>
    <w:rsid w:val="02FE6917"/>
    <w:rsid w:val="04AB1C76"/>
    <w:rsid w:val="05303B5C"/>
    <w:rsid w:val="057F0913"/>
    <w:rsid w:val="061E7718"/>
    <w:rsid w:val="07092F19"/>
    <w:rsid w:val="07B37C1F"/>
    <w:rsid w:val="096B4801"/>
    <w:rsid w:val="09E702BC"/>
    <w:rsid w:val="0A56010C"/>
    <w:rsid w:val="0B495EAF"/>
    <w:rsid w:val="0B9E129E"/>
    <w:rsid w:val="0CF962CE"/>
    <w:rsid w:val="104F5D4E"/>
    <w:rsid w:val="11383ACD"/>
    <w:rsid w:val="11B303FE"/>
    <w:rsid w:val="12164AD3"/>
    <w:rsid w:val="12DE6D67"/>
    <w:rsid w:val="138B447B"/>
    <w:rsid w:val="142153EB"/>
    <w:rsid w:val="14584683"/>
    <w:rsid w:val="145A7E72"/>
    <w:rsid w:val="14983A03"/>
    <w:rsid w:val="14B43A04"/>
    <w:rsid w:val="155026BA"/>
    <w:rsid w:val="16E473F0"/>
    <w:rsid w:val="16FF6164"/>
    <w:rsid w:val="17401B2D"/>
    <w:rsid w:val="176A378D"/>
    <w:rsid w:val="188B15D3"/>
    <w:rsid w:val="19DB757A"/>
    <w:rsid w:val="1A8479F2"/>
    <w:rsid w:val="1B4B7A22"/>
    <w:rsid w:val="1B867DAC"/>
    <w:rsid w:val="1BBE048A"/>
    <w:rsid w:val="1E551952"/>
    <w:rsid w:val="1FDA2EAD"/>
    <w:rsid w:val="20514B2B"/>
    <w:rsid w:val="20986689"/>
    <w:rsid w:val="20B71B36"/>
    <w:rsid w:val="213D2AC7"/>
    <w:rsid w:val="2330763E"/>
    <w:rsid w:val="235E4892"/>
    <w:rsid w:val="235F46D2"/>
    <w:rsid w:val="246A53BC"/>
    <w:rsid w:val="25683804"/>
    <w:rsid w:val="258411BE"/>
    <w:rsid w:val="25DD39AD"/>
    <w:rsid w:val="27D56FF1"/>
    <w:rsid w:val="2B054C24"/>
    <w:rsid w:val="2E454CF5"/>
    <w:rsid w:val="2E8E2315"/>
    <w:rsid w:val="2E8F0D4A"/>
    <w:rsid w:val="2F6A6270"/>
    <w:rsid w:val="30334E05"/>
    <w:rsid w:val="309A299A"/>
    <w:rsid w:val="30B076BA"/>
    <w:rsid w:val="31656D7C"/>
    <w:rsid w:val="316942D8"/>
    <w:rsid w:val="32464F97"/>
    <w:rsid w:val="324F6E4A"/>
    <w:rsid w:val="33430A64"/>
    <w:rsid w:val="335B4D4D"/>
    <w:rsid w:val="338837B3"/>
    <w:rsid w:val="34070E0A"/>
    <w:rsid w:val="34E27153"/>
    <w:rsid w:val="35B20971"/>
    <w:rsid w:val="368F227C"/>
    <w:rsid w:val="36A52284"/>
    <w:rsid w:val="36FB72F1"/>
    <w:rsid w:val="3753783D"/>
    <w:rsid w:val="380A246F"/>
    <w:rsid w:val="390F0510"/>
    <w:rsid w:val="3930188D"/>
    <w:rsid w:val="39313B8D"/>
    <w:rsid w:val="39FF52B2"/>
    <w:rsid w:val="3EAB41B0"/>
    <w:rsid w:val="401044A7"/>
    <w:rsid w:val="40BA3BE1"/>
    <w:rsid w:val="40D667EF"/>
    <w:rsid w:val="40DB643C"/>
    <w:rsid w:val="40FC12CD"/>
    <w:rsid w:val="410C6108"/>
    <w:rsid w:val="4139427C"/>
    <w:rsid w:val="415A0FC6"/>
    <w:rsid w:val="41A50122"/>
    <w:rsid w:val="424C1853"/>
    <w:rsid w:val="42C34D15"/>
    <w:rsid w:val="443D0491"/>
    <w:rsid w:val="458B1603"/>
    <w:rsid w:val="458D562B"/>
    <w:rsid w:val="461870E4"/>
    <w:rsid w:val="466709FA"/>
    <w:rsid w:val="46DC3BD1"/>
    <w:rsid w:val="495A0987"/>
    <w:rsid w:val="497C14DA"/>
    <w:rsid w:val="49F97F58"/>
    <w:rsid w:val="4A20088A"/>
    <w:rsid w:val="4A5A0C52"/>
    <w:rsid w:val="4BC113EF"/>
    <w:rsid w:val="4D15083D"/>
    <w:rsid w:val="4D86623D"/>
    <w:rsid w:val="4DCE1C69"/>
    <w:rsid w:val="4E5F618A"/>
    <w:rsid w:val="4E6F1BA4"/>
    <w:rsid w:val="4FBC446F"/>
    <w:rsid w:val="50DF4CBB"/>
    <w:rsid w:val="50EC791A"/>
    <w:rsid w:val="51C44034"/>
    <w:rsid w:val="52CD31BF"/>
    <w:rsid w:val="52DF2E75"/>
    <w:rsid w:val="541561A0"/>
    <w:rsid w:val="544555FD"/>
    <w:rsid w:val="54E725D7"/>
    <w:rsid w:val="55805BE7"/>
    <w:rsid w:val="55A046B7"/>
    <w:rsid w:val="56A828A2"/>
    <w:rsid w:val="5876152E"/>
    <w:rsid w:val="58840844"/>
    <w:rsid w:val="58F6574C"/>
    <w:rsid w:val="596657E2"/>
    <w:rsid w:val="59BE7AFF"/>
    <w:rsid w:val="5A1C50E2"/>
    <w:rsid w:val="5A9F7EB1"/>
    <w:rsid w:val="5D2D243B"/>
    <w:rsid w:val="5D5E6AB1"/>
    <w:rsid w:val="5DEC757F"/>
    <w:rsid w:val="5E4F0B48"/>
    <w:rsid w:val="5F03391A"/>
    <w:rsid w:val="5F3905A9"/>
    <w:rsid w:val="5F9861E1"/>
    <w:rsid w:val="601C648E"/>
    <w:rsid w:val="60705E47"/>
    <w:rsid w:val="613C4296"/>
    <w:rsid w:val="62382494"/>
    <w:rsid w:val="62996E03"/>
    <w:rsid w:val="62C42091"/>
    <w:rsid w:val="631D47AB"/>
    <w:rsid w:val="634B3FF6"/>
    <w:rsid w:val="63A8673A"/>
    <w:rsid w:val="63AC7EFE"/>
    <w:rsid w:val="63B70D7D"/>
    <w:rsid w:val="63BE5672"/>
    <w:rsid w:val="63CA5E7E"/>
    <w:rsid w:val="63D67EED"/>
    <w:rsid w:val="63F10007"/>
    <w:rsid w:val="64410545"/>
    <w:rsid w:val="64BD6867"/>
    <w:rsid w:val="64F560D4"/>
    <w:rsid w:val="657F5F32"/>
    <w:rsid w:val="65843E3A"/>
    <w:rsid w:val="666B2129"/>
    <w:rsid w:val="66CE0A06"/>
    <w:rsid w:val="684969A7"/>
    <w:rsid w:val="68517433"/>
    <w:rsid w:val="68D50789"/>
    <w:rsid w:val="6906005F"/>
    <w:rsid w:val="69410E6A"/>
    <w:rsid w:val="695D07D4"/>
    <w:rsid w:val="6AA732A6"/>
    <w:rsid w:val="6AB172E6"/>
    <w:rsid w:val="6C4E553D"/>
    <w:rsid w:val="6E041367"/>
    <w:rsid w:val="6E333872"/>
    <w:rsid w:val="6F821955"/>
    <w:rsid w:val="6F952D5B"/>
    <w:rsid w:val="7073020B"/>
    <w:rsid w:val="707631DF"/>
    <w:rsid w:val="70A87CA1"/>
    <w:rsid w:val="70CB5448"/>
    <w:rsid w:val="70D867D7"/>
    <w:rsid w:val="71374387"/>
    <w:rsid w:val="71A67DA3"/>
    <w:rsid w:val="71E103E2"/>
    <w:rsid w:val="72607593"/>
    <w:rsid w:val="73F82FD0"/>
    <w:rsid w:val="74401A8D"/>
    <w:rsid w:val="74F05224"/>
    <w:rsid w:val="75284D5F"/>
    <w:rsid w:val="76E836A3"/>
    <w:rsid w:val="779E6285"/>
    <w:rsid w:val="795D4814"/>
    <w:rsid w:val="79BA2F1D"/>
    <w:rsid w:val="79DB4FF1"/>
    <w:rsid w:val="7A5E1A6B"/>
    <w:rsid w:val="7AF22421"/>
    <w:rsid w:val="7B1F8AD2"/>
    <w:rsid w:val="7C00467F"/>
    <w:rsid w:val="7C012224"/>
    <w:rsid w:val="7C905D58"/>
    <w:rsid w:val="7CF65E91"/>
    <w:rsid w:val="7D6B38D1"/>
    <w:rsid w:val="7DD565C5"/>
    <w:rsid w:val="7E5C45A3"/>
    <w:rsid w:val="7F5B9ABF"/>
    <w:rsid w:val="B4DF16EB"/>
    <w:rsid w:val="BEBF0708"/>
    <w:rsid w:val="BEEF0866"/>
    <w:rsid w:val="BEF689C0"/>
    <w:rsid w:val="BFF770F8"/>
    <w:rsid w:val="CFFF864A"/>
    <w:rsid w:val="DEF47B73"/>
    <w:rsid w:val="EFBFC746"/>
    <w:rsid w:val="F74BEB24"/>
    <w:rsid w:val="FBDF6030"/>
    <w:rsid w:val="FBFF7EEB"/>
    <w:rsid w:val="FFE30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38"/>
      <w:outlineLvl w:val="0"/>
    </w:pPr>
    <w:rPr>
      <w:rFonts w:ascii="仿宋" w:hAnsi="仿宋" w:eastAsia="仿宋"/>
      <w:b/>
      <w:bCs/>
      <w:sz w:val="32"/>
      <w:szCs w:val="32"/>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numPr>
        <w:ilvl w:val="3"/>
        <w:numId w:val="1"/>
      </w:numPr>
      <w:tabs>
        <w:tab w:val="left" w:pos="560"/>
      </w:tabs>
      <w:spacing w:before="240" w:after="120"/>
      <w:outlineLvl w:val="3"/>
    </w:pPr>
    <w:rPr>
      <w:rFonts w:ascii="Cambria" w:hAnsi="Cambria"/>
      <w:b/>
      <w:bCs/>
      <w:kern w:val="0"/>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6"/>
    <w:unhideWhenUsed/>
    <w:qFormat/>
    <w:uiPriority w:val="99"/>
    <w:pPr>
      <w:jc w:val="left"/>
    </w:pPr>
  </w:style>
  <w:style w:type="paragraph" w:styleId="7">
    <w:name w:val="Body Text"/>
    <w:basedOn w:val="1"/>
    <w:link w:val="34"/>
    <w:qFormat/>
    <w:uiPriority w:val="1"/>
    <w:pPr>
      <w:spacing w:before="41"/>
      <w:ind w:left="138"/>
    </w:pPr>
    <w:rPr>
      <w:rFonts w:ascii="仿宋" w:hAnsi="仿宋" w:eastAsia="仿宋"/>
      <w:sz w:val="24"/>
    </w:rPr>
  </w:style>
  <w:style w:type="paragraph" w:styleId="8">
    <w:name w:val="Body Text Indent"/>
    <w:basedOn w:val="1"/>
    <w:semiHidden/>
    <w:unhideWhenUsed/>
    <w:qFormat/>
    <w:uiPriority w:val="99"/>
    <w:pPr>
      <w:spacing w:after="120"/>
      <w:ind w:left="420" w:leftChars="200"/>
    </w:pPr>
  </w:style>
  <w:style w:type="paragraph" w:styleId="9">
    <w:name w:val="index 4"/>
    <w:basedOn w:val="1"/>
    <w:next w:val="1"/>
    <w:unhideWhenUsed/>
    <w:qFormat/>
    <w:uiPriority w:val="99"/>
    <w:pPr>
      <w:ind w:left="600" w:leftChars="600"/>
    </w:pPr>
  </w:style>
  <w:style w:type="paragraph" w:styleId="10">
    <w:name w:val="Balloon Text"/>
    <w:basedOn w:val="1"/>
    <w:link w:val="24"/>
    <w:unhideWhenUsed/>
    <w:qFormat/>
    <w:uiPriority w:val="99"/>
    <w:rPr>
      <w:sz w:val="18"/>
      <w:szCs w:val="18"/>
    </w:r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annotation subject"/>
    <w:basedOn w:val="6"/>
    <w:next w:val="6"/>
    <w:link w:val="37"/>
    <w:unhideWhenUsed/>
    <w:qFormat/>
    <w:uiPriority w:val="99"/>
    <w:rPr>
      <w:b/>
      <w:bCs/>
    </w:rPr>
  </w:style>
  <w:style w:type="paragraph" w:styleId="15">
    <w:name w:val="Body Text First Indent"/>
    <w:basedOn w:val="7"/>
    <w:link w:val="35"/>
    <w:unhideWhenUsed/>
    <w:qFormat/>
    <w:uiPriority w:val="99"/>
    <w:pPr>
      <w:ind w:firstLine="420" w:firstLineChars="100"/>
    </w:pPr>
  </w:style>
  <w:style w:type="paragraph" w:styleId="16">
    <w:name w:val="Body Text First Indent 2"/>
    <w:basedOn w:val="8"/>
    <w:unhideWhenUsed/>
    <w:qFormat/>
    <w:uiPriority w:val="99"/>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annotation reference"/>
    <w:basedOn w:val="19"/>
    <w:unhideWhenUsed/>
    <w:qFormat/>
    <w:uiPriority w:val="99"/>
    <w:rPr>
      <w:sz w:val="21"/>
      <w:szCs w:val="21"/>
    </w:rPr>
  </w:style>
  <w:style w:type="paragraph" w:customStyle="1" w:styleId="21">
    <w:name w:val="列出段落1"/>
    <w:basedOn w:val="1"/>
    <w:link w:val="28"/>
    <w:qFormat/>
    <w:uiPriority w:val="34"/>
    <w:pPr>
      <w:ind w:firstLine="420" w:firstLineChars="200"/>
    </w:pPr>
    <w:rPr>
      <w:rFonts w:ascii="Calibri" w:hAnsi="Calibri"/>
      <w:szCs w:val="22"/>
    </w:rPr>
  </w:style>
  <w:style w:type="character" w:customStyle="1" w:styleId="22">
    <w:name w:val="标题 2 Char"/>
    <w:basedOn w:val="19"/>
    <w:link w:val="3"/>
    <w:qFormat/>
    <w:uiPriority w:val="9"/>
    <w:rPr>
      <w:rFonts w:asciiTheme="majorHAnsi" w:hAnsiTheme="majorHAnsi" w:eastAsiaTheme="majorEastAsia" w:cstheme="majorBidi"/>
      <w:b/>
      <w:bCs/>
      <w:sz w:val="32"/>
      <w:szCs w:val="32"/>
    </w:rPr>
  </w:style>
  <w:style w:type="character" w:customStyle="1" w:styleId="23">
    <w:name w:val="标题 3 Char"/>
    <w:basedOn w:val="19"/>
    <w:link w:val="4"/>
    <w:qFormat/>
    <w:uiPriority w:val="9"/>
    <w:rPr>
      <w:rFonts w:ascii="Times New Roman" w:hAnsi="Times New Roman" w:eastAsia="宋体" w:cs="Times New Roman"/>
      <w:b/>
      <w:bCs/>
      <w:sz w:val="32"/>
      <w:szCs w:val="32"/>
    </w:rPr>
  </w:style>
  <w:style w:type="character" w:customStyle="1" w:styleId="24">
    <w:name w:val="批注框文本 Char"/>
    <w:basedOn w:val="19"/>
    <w:link w:val="10"/>
    <w:semiHidden/>
    <w:qFormat/>
    <w:uiPriority w:val="99"/>
    <w:rPr>
      <w:rFonts w:ascii="Times New Roman" w:hAnsi="Times New Roman" w:eastAsia="宋体" w:cs="Times New Roman"/>
      <w:sz w:val="18"/>
      <w:szCs w:val="18"/>
    </w:rPr>
  </w:style>
  <w:style w:type="character" w:customStyle="1" w:styleId="25">
    <w:name w:val="页眉 Char"/>
    <w:basedOn w:val="19"/>
    <w:link w:val="12"/>
    <w:qFormat/>
    <w:uiPriority w:val="99"/>
    <w:rPr>
      <w:rFonts w:ascii="Times New Roman" w:hAnsi="Times New Roman" w:eastAsia="宋体" w:cs="Times New Roman"/>
      <w:sz w:val="18"/>
      <w:szCs w:val="18"/>
    </w:rPr>
  </w:style>
  <w:style w:type="character" w:customStyle="1" w:styleId="26">
    <w:name w:val="页脚 Char"/>
    <w:basedOn w:val="19"/>
    <w:link w:val="11"/>
    <w:qFormat/>
    <w:uiPriority w:val="99"/>
    <w:rPr>
      <w:rFonts w:ascii="Times New Roman" w:hAnsi="Times New Roman" w:eastAsia="宋体" w:cs="Times New Roman"/>
      <w:sz w:val="18"/>
      <w:szCs w:val="18"/>
    </w:rPr>
  </w:style>
  <w:style w:type="character" w:customStyle="1" w:styleId="27">
    <w:name w:val="apple-converted-space"/>
    <w:basedOn w:val="19"/>
    <w:qFormat/>
    <w:uiPriority w:val="0"/>
  </w:style>
  <w:style w:type="character" w:customStyle="1" w:styleId="28">
    <w:name w:val="列出段落 Char"/>
    <w:link w:val="21"/>
    <w:qFormat/>
    <w:uiPriority w:val="34"/>
    <w:rPr>
      <w:rFonts w:ascii="Calibri" w:hAnsi="Calibri" w:eastAsia="宋体" w:cs="Times New Roman"/>
    </w:rPr>
  </w:style>
  <w:style w:type="paragraph" w:customStyle="1" w:styleId="29">
    <w:name w:val="04-正文"/>
    <w:basedOn w:val="1"/>
    <w:link w:val="30"/>
    <w:qFormat/>
    <w:uiPriority w:val="0"/>
    <w:pPr>
      <w:spacing w:line="360" w:lineRule="auto"/>
      <w:ind w:firstLine="482"/>
    </w:pPr>
    <w:rPr>
      <w:rFonts w:ascii="宋体" w:hAnsi="宋体"/>
      <w:sz w:val="24"/>
    </w:rPr>
  </w:style>
  <w:style w:type="character" w:customStyle="1" w:styleId="30">
    <w:name w:val="04-正文 Char"/>
    <w:link w:val="29"/>
    <w:qFormat/>
    <w:uiPriority w:val="0"/>
    <w:rPr>
      <w:rFonts w:ascii="宋体" w:hAnsi="宋体" w:eastAsia="宋体" w:cs="Times New Roman"/>
      <w:sz w:val="24"/>
      <w:szCs w:val="24"/>
    </w:rPr>
  </w:style>
  <w:style w:type="paragraph" w:customStyle="1" w:styleId="31">
    <w:name w:val="USE 1"/>
    <w:basedOn w:val="1"/>
    <w:qFormat/>
    <w:uiPriority w:val="0"/>
    <w:pPr>
      <w:spacing w:line="200" w:lineRule="atLeast"/>
    </w:pPr>
    <w:rPr>
      <w:rFonts w:ascii="宋体" w:hAnsi="宋体"/>
      <w:b/>
      <w:szCs w:val="28"/>
    </w:rPr>
  </w:style>
  <w:style w:type="paragraph" w:customStyle="1" w:styleId="32">
    <w:name w:val="列出段落11"/>
    <w:basedOn w:val="1"/>
    <w:qFormat/>
    <w:uiPriority w:val="34"/>
    <w:pPr>
      <w:ind w:firstLine="420" w:firstLineChars="200"/>
    </w:pPr>
    <w:rPr>
      <w:rFonts w:ascii="Calibri" w:hAnsi="Calibri"/>
    </w:rPr>
  </w:style>
  <w:style w:type="paragraph" w:customStyle="1" w:styleId="33">
    <w:name w:val="列表段落1"/>
    <w:basedOn w:val="1"/>
    <w:qFormat/>
    <w:uiPriority w:val="1"/>
    <w:pPr>
      <w:ind w:left="618" w:firstLine="240"/>
    </w:pPr>
  </w:style>
  <w:style w:type="character" w:customStyle="1" w:styleId="34">
    <w:name w:val="正文文本 Char"/>
    <w:basedOn w:val="19"/>
    <w:link w:val="7"/>
    <w:qFormat/>
    <w:uiPriority w:val="0"/>
    <w:rPr>
      <w:kern w:val="2"/>
      <w:sz w:val="21"/>
      <w:szCs w:val="24"/>
    </w:rPr>
  </w:style>
  <w:style w:type="character" w:customStyle="1" w:styleId="35">
    <w:name w:val="正文首行缩进 Char"/>
    <w:basedOn w:val="34"/>
    <w:link w:val="15"/>
    <w:qFormat/>
    <w:uiPriority w:val="0"/>
    <w:rPr>
      <w:kern w:val="2"/>
      <w:sz w:val="21"/>
      <w:szCs w:val="24"/>
    </w:rPr>
  </w:style>
  <w:style w:type="character" w:customStyle="1" w:styleId="36">
    <w:name w:val="批注文字 Char"/>
    <w:basedOn w:val="19"/>
    <w:link w:val="6"/>
    <w:semiHidden/>
    <w:qFormat/>
    <w:uiPriority w:val="99"/>
    <w:rPr>
      <w:kern w:val="2"/>
      <w:sz w:val="21"/>
      <w:szCs w:val="24"/>
    </w:rPr>
  </w:style>
  <w:style w:type="character" w:customStyle="1" w:styleId="37">
    <w:name w:val="批注主题 Char"/>
    <w:basedOn w:val="36"/>
    <w:link w:val="14"/>
    <w:semiHidden/>
    <w:qFormat/>
    <w:uiPriority w:val="99"/>
    <w:rPr>
      <w:b/>
      <w:bCs/>
      <w:kern w:val="2"/>
      <w:sz w:val="21"/>
      <w:szCs w:val="24"/>
    </w:rPr>
  </w:style>
  <w:style w:type="paragraph" w:customStyle="1" w:styleId="38">
    <w:name w:val="列出段落2"/>
    <w:basedOn w:val="1"/>
    <w:unhideWhenUsed/>
    <w:qFormat/>
    <w:uiPriority w:val="99"/>
    <w:pPr>
      <w:ind w:firstLine="420" w:firstLineChars="200"/>
    </w:pPr>
  </w:style>
  <w:style w:type="paragraph" w:customStyle="1" w:styleId="39">
    <w:name w:val="列出段落3"/>
    <w:basedOn w:val="1"/>
    <w:unhideWhenUsed/>
    <w:qFormat/>
    <w:uiPriority w:val="99"/>
    <w:pPr>
      <w:ind w:firstLine="420" w:firstLineChars="200"/>
    </w:pPr>
  </w:style>
  <w:style w:type="paragraph" w:customStyle="1" w:styleId="40">
    <w:name w:val="列出段落_1"/>
    <w:basedOn w:val="41"/>
    <w:qFormat/>
    <w:uiPriority w:val="34"/>
    <w:pPr>
      <w:ind w:firstLine="420" w:firstLineChars="200"/>
    </w:pPr>
    <w:rPr>
      <w:rFonts w:ascii="Times New Roman" w:hAnsi="Times New Roman"/>
    </w:rPr>
  </w:style>
  <w:style w:type="paragraph" w:customStyle="1" w:styleId="41">
    <w:name w:val="正文_3"/>
    <w:qFormat/>
    <w:uiPriority w:val="0"/>
    <w:pPr>
      <w:widowControl w:val="0"/>
      <w:jc w:val="both"/>
    </w:pPr>
    <w:rPr>
      <w:rFonts w:ascii="Calibri" w:hAnsi="Calibri" w:eastAsia="宋体" w:cs="Times New Roman"/>
      <w:kern w:val="2"/>
      <w:sz w:val="21"/>
      <w:szCs w:val="22"/>
      <w:lang w:val="en-US" w:eastAsia="zh-CN" w:bidi="ar-SA"/>
    </w:rPr>
  </w:style>
  <w:style w:type="paragraph" w:styleId="42">
    <w:name w:val="List Paragraph"/>
    <w:basedOn w:val="1"/>
    <w:link w:val="45"/>
    <w:qFormat/>
    <w:uiPriority w:val="99"/>
    <w:pPr>
      <w:ind w:firstLine="420" w:firstLineChars="200"/>
    </w:pPr>
  </w:style>
  <w:style w:type="paragraph" w:customStyle="1" w:styleId="43">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44">
    <w:name w:val="表格文字"/>
    <w:basedOn w:val="1"/>
    <w:qFormat/>
    <w:uiPriority w:val="0"/>
    <w:pPr>
      <w:jc w:val="center"/>
    </w:pPr>
    <w:rPr>
      <w:rFonts w:cs="宋体" w:eastAsiaTheme="minorEastAsia"/>
      <w:szCs w:val="20"/>
    </w:rPr>
  </w:style>
  <w:style w:type="character" w:customStyle="1" w:styleId="45">
    <w:name w:val="列出段落 Char1"/>
    <w:link w:val="42"/>
    <w:qFormat/>
    <w:uiPriority w:val="34"/>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LenovoCop</Company>
  <Pages>7</Pages>
  <Words>2831</Words>
  <Characters>3005</Characters>
  <Lines>38</Lines>
  <Paragraphs>10</Paragraphs>
  <TotalTime>40</TotalTime>
  <ScaleCrop>false</ScaleCrop>
  <LinksUpToDate>false</LinksUpToDate>
  <CharactersWithSpaces>3010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2025-05-20T02:04:00Z</dcterms:created>
  <dc:creator>赵张超</dc:creator>
  <cp:lastModifiedBy>一缕光</cp:lastModifiedBy>
  <cp:lastPrinted>2023-12-21T04:06:00Z</cp:lastPrinted>
  <dcterms:modified xsi:type="dcterms:W3CDTF">2026-08-20T03:03:25Z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E49D2068BE34C691B9DA826535A6277B</vt:lpwstr>
  </property>
  <property fmtid="{D5CDD505-2E9C-101B-9397-08002B2CF9AE}" pid="4" name="KSOTemplateDocerSaveRecord">
    <vt:lpwstr>eyJoZGlkIjoiZmZmZmIxOWM5ZjQ5ZTc3ZDMzMjQ3MGU3OGNhMDJlMDkiLCJ1c2VySWQiOiI0NTc0OTg3NzYifQ==</vt:lpwstr>
  </property>
</Properties>
</file>